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e651b4c79f634fc3"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80</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GRUPUL DE ACȚIUNE LOCALĂ VALEA MUNTELUI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Servicii publice îmbunătățite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 Solicitantul trebuie să demonstreze relevanța proiectului pentru nevoile comunității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DE PREZENTAT</w:t>
            </w:r>
          </w:p>
          <w:p>
            <w:pPr>
              <w:spacing w:line="360" w:lineRule="auto"/>
              <w:ind w:left="0" w:right="0" w:firstLine="493"/>
            </w:pPr>
            <w:r>
              <w:rPr>
                <w:rFonts w:ascii="Cambria" w:hAnsi="Cambria"/>
                <w:b w:val="false"/>
                <w:sz w:val="24"/>
              </w:rPr>
              <w:t>1.     CF/SF/MJ/DALI</w:t>
            </w:r>
          </w:p>
          <w:p>
            <w:pPr>
              <w:spacing w:line="360" w:lineRule="auto"/>
              <w:ind w:left="0" w:right="0" w:firstLine="493"/>
            </w:pPr>
            <w:r>
              <w:rPr>
                <w:rFonts w:ascii="Cambria" w:hAnsi="Cambria"/>
                <w:b w:val="false"/>
                <w:sz w:val="24"/>
              </w:rPr>
              <w:t>2.      Hotărâre de Consiliu Local / Hotărârile de Consiliu Local (în cazul ADI)/ Hotărârea Adunarii Generale a ONG/SAU SIMILAR pentru implementarea proiectului</w:t>
            </w:r>
          </w:p>
          <w:p>
            <w:pPr>
              <w:spacing w:line="360" w:lineRule="auto"/>
              <w:ind w:left="0" w:right="0" w:firstLine="493"/>
            </w:pPr>
            <w:r>
              <w:rPr>
                <w:rFonts w:ascii="Cambria" w:hAnsi="Cambria"/>
                <w:b w:val="false"/>
                <w:sz w:val="24"/>
              </w:rPr>
              <w:t>Se verifică  în baza informaţiilor din Cererea de Finantare/Studiul de Fezabilitate/Memoriul Justificativ/Documentația de Avizare a Lucrărilor de Intervenții și Hotărârea Consiliului Local/ Consiliilor Locale (în cazul ADI)/  Hotărârea Adunarii Generale a ONG pentru implementarea proiectului/etc necesitatea, oportunitatea și potențialul  economic al investiției.</w:t>
            </w:r>
          </w:p>
          <w:p>
            <w:pPr>
              <w:spacing w:line="360" w:lineRule="auto"/>
              <w:ind w:left="0" w:right="0" w:firstLine="493"/>
            </w:pPr>
            <w:r>
              <w:rPr>
                <w:rFonts w:ascii="Cambria" w:hAnsi="Cambria"/>
                <w:b w:val="false"/>
                <w:sz w:val="24"/>
              </w:rPr>
              <w:t>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r>
              <w:rPr>
                <w:rFonts w:ascii="Cambria" w:hAnsi="Cambria"/>
                <w:b w:val="false"/>
                <w:sz w:val="24"/>
              </w:rPr>
              <w:t>Dacă verificarea documentelor confirmă necesitatea, oportunitatea și potențialul economic al investiției si analiza cost – beneficiu a proiectului se încadrează în reglementările HG 907/2016 privind etapele de elaborare și conţinutul-cadru al documentațiilor tehnico-economice aferente obiectivelor/ proiectelor de investiții finanțate din fonduri publice, </w:t>
            </w:r>
            <w:r>
              <w:rPr>
                <w:rFonts w:ascii="Cambria" w:hAnsi="Cambria"/>
                <w:b w:val="false"/>
                <w:sz w:val="24"/>
                <w:lang w:val="it"/>
              </w:rPr>
              <w:t>bifează coloana DA. În caz contrar se va bifa “NU”, expertul  </w:t>
            </w:r>
            <w:r>
              <w:rPr>
                <w:rFonts w:ascii="Cambria" w:hAnsi="Cambria"/>
                <w:b w:val="false"/>
                <w:sz w:val="24"/>
              </w:rPr>
              <w:t>îşi motivează poziţia în rubrica „Observaţii” si </w:t>
            </w:r>
            <w:r>
              <w:rPr>
                <w:rFonts w:ascii="Cambria" w:hAnsi="Cambria"/>
                <w:b w:val="false"/>
                <w:sz w:val="24"/>
                <w:lang w:val="it"/>
              </w:rPr>
              <w:t>cererea de finanţare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Solicitantul trebuie să facă dovada proprietății/administrării terenului/construcției pe care se realizează investiția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DE PREZENTAT</w:t>
            </w:r>
          </w:p>
          <w:p>
            <w:pPr>
              <w:spacing w:line="360" w:lineRule="auto"/>
              <w:ind w:left="0" w:right="0" w:firstLine="493"/>
            </w:pPr>
            <w:r>
              <w:rPr>
                <w:rFonts w:ascii="Cambria" w:hAnsi="Cambria"/>
                <w:b w:val="false"/>
                <w:sz w:val="24"/>
              </w:rPr>
              <w:t>1.      CF/SF/MJ/DALI</w:t>
            </w:r>
          </w:p>
          <w:p>
            <w:pPr>
              <w:spacing w:line="360" w:lineRule="auto"/>
              <w:ind w:left="0" w:right="0" w:firstLine="493"/>
            </w:pPr>
            <w:r>
              <w:rPr>
                <w:rFonts w:ascii="Cambria" w:hAnsi="Cambria"/>
                <w:b w:val="false"/>
                <w:sz w:val="24"/>
              </w:rPr>
              <w:t>2.      Doc. 3. Documente pentru terenurile și/sau clădirile aferente realizarii investiției</w:t>
            </w:r>
          </w:p>
          <w:p>
            <w:pPr>
              <w:spacing w:line="360" w:lineRule="auto"/>
              <w:ind w:left="0" w:right="0" w:firstLine="493"/>
            </w:pPr>
            <w:r>
              <w:rPr>
                <w:rFonts w:ascii="Cambria" w:hAnsi="Cambria"/>
                <w:b w:val="false"/>
                <w:sz w:val="24"/>
              </w:rPr>
              <w:t>Se analizează dacă solicitantul:</w:t>
            </w:r>
          </w:p>
          <w:p>
            <w:pPr>
              <w:pStyle w:val="ListParagraph"/>
              <w:numPr>
                <w:ilvl w:val="0"/>
                <w:numId w:val="2"/>
              </w:numPr>
            </w:pPr>
            <w:r>
              <w:rPr>
                <w:rFonts w:ascii="Cambria" w:hAnsi="Cambria"/>
                <w:b w:val="false"/>
                <w:sz w:val="24"/>
              </w:rPr>
              <w:t>are calitatea legală de proprietar sau administrator al imobilului ce face obiectul proiectului;</w:t>
            </w:r>
          </w:p>
          <w:p>
            <w:pPr>
              <w:pStyle w:val="ListParagraph"/>
              <w:numPr>
                <w:ilvl w:val="0"/>
                <w:numId w:val="2"/>
              </w:numPr>
            </w:pPr>
            <w:r>
              <w:rPr>
                <w:rFonts w:ascii="Cambria" w:hAnsi="Cambria"/>
                <w:b w:val="false"/>
                <w:sz w:val="24"/>
              </w:rPr>
              <w:t>poate dovedi acest drept prin documente oficiale valabile pe o perioadă de cel puțin 10 ani, conform cerințelor apelului de finanțare.</w:t>
            </w:r>
          </w:p>
          <w:p>
            <w:pPr>
              <w:spacing w:line="360" w:lineRule="auto"/>
              <w:ind w:left="0" w:right="0" w:firstLine="493"/>
            </w:pPr>
            <w:r>
              <w:rPr>
                <w:rFonts w:ascii="Cambria" w:hAnsi="Cambria"/>
                <w:b w:val="false"/>
                <w:sz w:val="24"/>
              </w:rPr>
              <w:t>În cazul în care:</w:t>
            </w:r>
          </w:p>
          <w:p>
            <w:pPr>
              <w:pStyle w:val="ListParagraph"/>
              <w:numPr>
                <w:ilvl w:val="0"/>
                <w:numId w:val="3"/>
              </w:numPr>
            </w:pPr>
            <w:r>
              <w:rPr>
                <w:rFonts w:ascii="Cambria" w:hAnsi="Cambria"/>
                <w:b w:val="false"/>
                <w:sz w:val="24"/>
              </w:rPr>
              <w:t>bunurile imobile nu sunt incluse în inventarul domeniului public atestat,</w:t>
            </w:r>
          </w:p>
          <w:p>
            <w:pPr>
              <w:pStyle w:val="ListParagraph"/>
              <w:numPr>
                <w:ilvl w:val="0"/>
                <w:numId w:val="3"/>
              </w:numPr>
            </w:pPr>
            <w:r>
              <w:rPr>
                <w:rFonts w:ascii="Cambria" w:hAnsi="Cambria"/>
                <w:b w:val="false"/>
                <w:sz w:val="24"/>
              </w:rPr>
              <w:t>hotărârile Consiliului Local nu au fost supuse controlului de legalitate,</w:t>
            </w:r>
          </w:p>
          <w:p>
            <w:pPr>
              <w:pStyle w:val="ListParagraph"/>
              <w:numPr>
                <w:ilvl w:val="0"/>
                <w:numId w:val="3"/>
              </w:numPr>
            </w:pPr>
            <w:r>
              <w:rPr>
                <w:rFonts w:ascii="Cambria" w:hAnsi="Cambria"/>
                <w:b w:val="false"/>
                <w:sz w:val="24"/>
              </w:rPr>
              <w:t>există neconcordanțe sau lipsuri în actele de proprietate/administrare,</w:t>
            </w:r>
          </w:p>
          <w:p>
            <w:pPr>
              <w:pStyle w:val="ListParagraph"/>
              <w:numPr>
                <w:ilvl w:val="0"/>
                <w:numId w:val="3"/>
              </w:numPr>
            </w:pPr>
            <w:r>
              <w:rPr>
                <w:rFonts w:ascii="Cambria" w:hAnsi="Cambria"/>
                <w:b w:val="false"/>
                <w:sz w:val="24"/>
              </w:rPr>
              <w:t>expertul poate solicita clarificări suplimentare sau documente adiționale pentru a valida eligibilitatea investiției.</w:t>
            </w:r>
          </w:p>
          <w:p>
            <w:pPr>
              <w:spacing w:line="360" w:lineRule="auto"/>
              <w:ind w:left="0" w:right="0" w:firstLine="493"/>
            </w:pPr>
            <w:r>
              <w:rPr>
                <w:rFonts w:ascii="Cambria" w:hAnsi="Cambria"/>
                <w:b w:val="false"/>
                <w:sz w:val="24"/>
              </w:rPr>
              <w:t>Dacă, în urma verificării, se confirmă că solicitantul are un drept legal, clar și necontestat asupra imobilului pentru o perioadă de minimum 10 ani, se va bifa opțiunea DA.</w:t>
            </w:r>
          </w:p>
          <w:p>
            <w:pPr>
              <w:spacing w:line="360" w:lineRule="auto"/>
              <w:ind w:left="0" w:right="0" w:firstLine="493"/>
            </w:pPr>
            <w:r>
              <w:rPr>
                <w:rFonts w:ascii="Cambria" w:hAnsi="Cambria"/>
                <w:b w:val="false"/>
                <w:sz w:val="24"/>
              </w:rPr>
              <w:t>În caz contrar, se va bifa NU, iar expertul evaluator va consemna justificarea în secțiunea „Observații”, iar cererea de finanțare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D2228"/>
                <w:sz w:val="24"/>
              </w:rPr>
              <w:t>R.41PR-Ponderea populației rurale care beneficiază de un acces îmbunătățit la servicii și infrastructură prin intermediul sprijinului PAC  </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color w:val="1D2228"/>
                <w:sz w:val="24"/>
              </w:rPr>
              <w:t>Metodologie de verificat : Expertul verifică numărul populației rurale care va beneficia de acces îmbunătățit la servicii și infrastructură ca urmare a finalizării proiectului.</w:t>
            </w:r>
            <w:r>
              <w:rPr>
                <w:rFonts w:ascii="Cambria" w:hAnsi="Cambria"/>
                <w:b w:val="false"/>
                <w:color w:val="1D2228"/>
                <w:sz w:val="24"/>
              </w:rPr>
              <w:t>Documente de verificat :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P1 - Principiul tipului de investiție: construcții sau dotări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Proiecte care se incadrează în categoria investiliilor de tipul dotărilor</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Documente verificate : CF/</w:t>
            </w:r>
            <w:r>
              <w:rPr>
                <w:rFonts w:ascii="Cambria Bold" w:hAnsi="Cambria Bold"/>
                <w:b/>
                <w:sz w:val="24"/>
              </w:rPr>
              <w:t>MJ</w:t>
            </w:r>
          </w:p>
          <w:p>
            <w:pPr>
              <w:spacing w:line="360" w:lineRule="auto"/>
              <w:ind w:left="0" w:right="0" w:firstLine="493"/>
            </w:pPr>
            <w:r>
              <w:rPr>
                <w:rFonts w:ascii="Cambria" w:hAnsi="Cambria"/>
                <w:b w:val="false"/>
                <w:sz w:val="24"/>
              </w:rPr>
              <w:t>Se verifică dacă proiectul vizează exclusiv achiziția de bunuri mobile (echipamente, utilaje, mobilier, aparatură, mijloace tehnologice etc.), fără a presupune lucrări de construcții, reabilitare, modernizare, extindere sau alte intervenții asupra infrastructurii fizice existente.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1.2  </w:t>
            </w:r>
          </w:p>
        </w:tc>
        <w:tc>
          <w:tcPr>
            <w:shd w:val="clear" w:color="auto" w:fill="F8ECD2"/>
            <w:vAlign w:val="center"/>
          </w:tcPr>
          <w:p>
            <w:r>
              <w:rPr>
                <w:rFonts w:ascii="Cambria" w:hAnsi="Cambria"/>
                <w:b w:val="false"/>
                <w:color w:val="58400C"/>
                <w:sz w:val="24"/>
              </w:rPr>
              <w:t>Proiecte care se incadrează în categoria investiliilor de tipul construcții și montaj (C+M)</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Documente Verificate : CF/SF/DALI/MJ</w:t>
            </w:r>
          </w:p>
          <w:p>
            <w:pPr>
              <w:spacing w:line="360" w:lineRule="auto"/>
              <w:ind w:left="0" w:right="0" w:firstLine="493"/>
            </w:pPr>
            <w:r>
              <w:rPr>
                <w:rFonts w:ascii="Cambria" w:hAnsi="Cambria"/>
                <w:b w:val="false"/>
                <w:sz w:val="24"/>
              </w:rPr>
              <w:t>Se verifică dacă proiectul presupune realizarea unor lucrări de construcție nouă, modernizare, reabilitare, extindere, consolidare sau amenajare a unei infrastructuri publice locale, indiferent dacă acestea sunt sau nu însoțite de dotări.</w:t>
            </w:r>
          </w:p>
          <w:p>
            <w:pPr>
              <w:spacing w:line="360" w:lineRule="auto"/>
              <w:ind w:left="0" w:right="0" w:firstLine="493"/>
            </w:pPr>
            <w:r>
              <w:rPr>
                <w:rFonts w:ascii="Cambria" w:hAnsi="Cambria"/>
                <w:b w:val="false"/>
                <w:sz w:val="24"/>
              </w:rPr>
              <w:t>Proiectele din această categorie implică intervenții asupra infrastructurii fizice (clădiri, spații publice, rețele etc.).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P2 - Principiul domeniului prioritar: educație sau servicii publice</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2.1  </w:t>
            </w:r>
          </w:p>
        </w:tc>
        <w:tc>
          <w:tcPr>
            <w:shd w:val="clear" w:color="auto" w:fill="F8ECD2"/>
            <w:vAlign w:val="center"/>
          </w:tcPr>
          <w:p>
            <w:r>
              <w:rPr>
                <w:rFonts w:ascii="Cambria" w:hAnsi="Cambria"/>
                <w:b w:val="false"/>
                <w:color w:val="58400C"/>
                <w:sz w:val="24"/>
              </w:rPr>
              <w:t> Proiectul include investiții în domeniul serviciilor publice</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Documente Verificate : CF/SF/DALI/MJ</w:t>
            </w:r>
            <w:r>
              <w:rPr>
                <w:rFonts w:ascii="Cambria Bold" w:hAnsi="Cambria Bold"/>
                <w:b/>
                <w:sz w:val="24"/>
              </w:rPr>
              <w:t>Documente Verificate : CF/SF/DALI/MJ</w:t>
            </w:r>
          </w:p>
          <w:p>
            <w:pPr>
              <w:spacing w:line="360" w:lineRule="auto"/>
              <w:ind w:left="0" w:right="0" w:firstLine="493"/>
            </w:pPr>
            <w:r>
              <w:rPr>
                <w:rFonts w:ascii="Cambria" w:hAnsi="Cambria"/>
                <w:b w:val="false"/>
                <w:sz w:val="24"/>
              </w:rPr>
              <w:t>Proiectul primește punctaj dacă include invesiții în domeniul serviciilor publice, ca de exemplu:</w:t>
            </w:r>
          </w:p>
          <w:p>
            <w:pPr>
              <w:pStyle w:val="ListParagraph"/>
              <w:numPr>
                <w:ilvl w:val="0"/>
                <w:numId w:val="2"/>
              </w:numPr>
            </w:pPr>
            <w:r>
              <w:rPr>
                <w:rFonts w:ascii="Cambria" w:hAnsi="Cambria"/>
                <w:b w:val="false"/>
                <w:sz w:val="24"/>
              </w:rPr>
              <w:t>modernizarea, reabilitarea sau extinderea infrastructurii utilizate pentru furnizarea de servicii publice;</w:t>
            </w:r>
          </w:p>
          <w:p>
            <w:pPr>
              <w:pStyle w:val="ListParagraph"/>
              <w:numPr>
                <w:ilvl w:val="0"/>
                <w:numId w:val="2"/>
              </w:numPr>
            </w:pPr>
            <w:r>
              <w:rPr>
                <w:rFonts w:ascii="Cambria" w:hAnsi="Cambria"/>
                <w:b w:val="false"/>
                <w:sz w:val="24"/>
              </w:rPr>
              <w:t>dotarea cu echipamente necesare funcționării eficiente a serviciilor publice;</w:t>
            </w:r>
          </w:p>
          <w:p>
            <w:pPr>
              <w:pStyle w:val="ListParagraph"/>
              <w:numPr>
                <w:ilvl w:val="0"/>
                <w:numId w:val="2"/>
              </w:numPr>
            </w:pPr>
            <w:r>
              <w:rPr>
                <w:rFonts w:ascii="Cambria" w:hAnsi="Cambria"/>
                <w:b w:val="false"/>
                <w:sz w:val="24"/>
              </w:rPr>
              <w:t>digitalizarea sau optimizarea proceselor administrative;</w:t>
            </w:r>
          </w:p>
          <w:p>
            <w:pPr>
              <w:pStyle w:val="ListParagraph"/>
              <w:numPr>
                <w:ilvl w:val="0"/>
                <w:numId w:val="2"/>
              </w:numPr>
            </w:pPr>
            <w:r>
              <w:rPr>
                <w:rFonts w:ascii="Cambria" w:hAnsi="Cambria"/>
                <w:b w:val="false"/>
                <w:sz w:val="24"/>
              </w:rPr>
              <w:t>îmbunătățirea accesului cetățenilor la servicii publice esențiale.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2.2  </w:t>
            </w:r>
          </w:p>
        </w:tc>
        <w:tc>
          <w:tcPr>
            <w:shd w:val="clear" w:color="auto" w:fill="F8ECD2"/>
            <w:vAlign w:val="center"/>
          </w:tcPr>
          <w:p>
            <w:r>
              <w:rPr>
                <w:rFonts w:ascii="Cambria" w:hAnsi="Cambria"/>
                <w:b w:val="false"/>
                <w:color w:val="58400C"/>
                <w:sz w:val="24"/>
              </w:rPr>
              <w:t>       Proiectul include investiții în domeniul educației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Documente Verificate : CF/SF/DALI/MJ</w:t>
            </w:r>
          </w:p>
          <w:p>
            <w:pPr>
              <w:spacing w:line="360" w:lineRule="auto"/>
              <w:ind w:left="0" w:right="0" w:firstLine="493"/>
            </w:pPr>
            <w:r>
              <w:rPr>
                <w:rFonts w:ascii="Cambria" w:hAnsi="Cambria"/>
                <w:b w:val="false"/>
                <w:sz w:val="24"/>
              </w:rPr>
              <w:t>Proiectul primește punctaj dacă include invesiții în domeniul educației, ca de exemplu</w:t>
            </w:r>
          </w:p>
          <w:p>
            <w:pPr>
              <w:pStyle w:val="ListParagraph"/>
              <w:numPr>
                <w:ilvl w:val="0"/>
                <w:numId w:val="2"/>
              </w:numPr>
            </w:pPr>
            <w:r>
              <w:rPr>
                <w:rFonts w:ascii="Cambria" w:hAnsi="Cambria"/>
                <w:b w:val="false"/>
                <w:sz w:val="24"/>
              </w:rPr>
              <w:t>amenajarea, extinderea, modernizarea sau reabilitarea infrastructurii educaționale;</w:t>
            </w:r>
          </w:p>
          <w:p>
            <w:pPr>
              <w:pStyle w:val="ListParagraph"/>
              <w:numPr>
                <w:ilvl w:val="0"/>
                <w:numId w:val="2"/>
              </w:numPr>
            </w:pPr>
            <w:r>
              <w:rPr>
                <w:rFonts w:ascii="Cambria" w:hAnsi="Cambria"/>
                <w:b w:val="false"/>
                <w:sz w:val="24"/>
              </w:rPr>
              <w:t>dotarea cu echipamente, mobilier și materiale specifice procesului educațional;</w:t>
            </w:r>
          </w:p>
          <w:p>
            <w:pPr>
              <w:pStyle w:val="ListParagraph"/>
              <w:numPr>
                <w:ilvl w:val="0"/>
                <w:numId w:val="2"/>
              </w:numPr>
            </w:pPr>
            <w:r>
              <w:rPr>
                <w:rFonts w:ascii="Cambria" w:hAnsi="Cambria"/>
                <w:b w:val="false"/>
                <w:sz w:val="24"/>
              </w:rPr>
              <w:t>crearea de condiții adecvate pentru desfășurarea activităților educaționale;</w:t>
            </w:r>
          </w:p>
          <w:p>
            <w:pPr>
              <w:pStyle w:val="ListParagraph"/>
              <w:numPr>
                <w:ilvl w:val="0"/>
                <w:numId w:val="2"/>
              </w:numPr>
            </w:pPr>
            <w:r>
              <w:rPr>
                <w:rFonts w:ascii="Cambria" w:hAnsi="Cambria"/>
                <w:b w:val="false"/>
                <w:sz w:val="24"/>
              </w:rPr>
              <w:t>îmbunătățirea accesului la educație, în special în comunitățile cu nevoi ridicate;</w:t>
            </w:r>
          </w:p>
          <w:p>
            <w:pPr>
              <w:pStyle w:val="ListParagraph"/>
              <w:numPr>
                <w:ilvl w:val="0"/>
                <w:numId w:val="2"/>
              </w:numPr>
            </w:pPr>
            <w:r>
              <w:rPr>
                <w:rFonts w:ascii="Cambria" w:hAnsi="Cambria"/>
                <w:b w:val="false"/>
                <w:sz w:val="24"/>
              </w:rPr>
              <w:t>s.a investiții pentru îmbunătățirea domeniului educației.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P3 - Principiul gradului de acoperire a populației deservite</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Valoarea (numeric) a populației care beneficiază de servicii/infrastructură îmbunătățită</w:t>
            </w:r>
          </w:p>
        </w:tc>
        <w:tc>
          <w:tcPr>
            <w:vAlign w:val="center"/>
          </w:tcPr>
          <w:p>
            <w:pPr>
              <w:keepNext/>
              <w:spacing w:line="360" w:lineRule="auto"/>
              <w:ind w:left="0" w:right="0" w:firstLine="493"/>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Documente Verificate : CF/SF/DALI/MJ</w:t>
            </w:r>
          </w:p>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Proiectul primește punctaj în funcție de numărul de persoane care beneficiază direct de investiția propusă, astfel : </w:t>
            </w:r>
          </w:p>
          <w:p>
            <w:pPr>
              <w:spacing w:line="360" w:lineRule="auto"/>
              <w:ind w:left="0" w:right="0" w:firstLine="493"/>
            </w:pPr>
            <w:r>
              <w:rPr>
                <w:rFonts w:ascii="Cambria" w:hAnsi="Cambria"/>
                <w:b w:val="false"/>
                <w:sz w:val="24"/>
              </w:rPr>
              <w:t>Populație care beneficiază de servicii/infrastructură îmbunătățită : &gt; 11.001 locuitori - 15 puncte </w:t>
            </w:r>
          </w:p>
          <w:p>
            <w:pPr>
              <w:spacing w:line="360" w:lineRule="auto"/>
              <w:ind w:left="0" w:right="0" w:firstLine="493"/>
            </w:pPr>
            <w:r>
              <w:rPr>
                <w:rFonts w:ascii="Cambria" w:hAnsi="Cambria"/>
                <w:b w:val="false"/>
                <w:sz w:val="24"/>
              </w:rPr>
              <w:t>Populație care beneficiază de servicii/infrastructură îmbunătățită: &lt; 11.000 locuitori = 30 puncte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Valoarea finantarii solicitate</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informatiile prezentate in sectiunea E2.3 din Cererea definantare si bugetul proiectului.In cazul proiectelor cu punctaj egal vor avea prioritate proiectele care auo valoarea mai mică a finantarii nerambursabile. Se verifica in bugetulproiectului totalul cheltuielilor eligibile solicitate.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Valoarea finantarii solicitate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Dac[  egalitatea pesista dupa aplicarea primului criteriu (Valoarea finantarii solicitate), se va aplica următorul criteriu suplimentar: Prioritizarea solicitantilorcare au beneficiat de un număr mai mic de finanțări europene acordate prin GAL în perioada de programare 2014– 2020. Se verifica informatiile din Cererea de finantare/SF/DALI/MJ Documente obligatorii : - Cererea de finantare - SF/DALI/MJ -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9c0136db83ff4dde" /><Relationship Type="http://schemas.openxmlformats.org/officeDocument/2006/relationships/numbering" Target="/word/numbering.xml" Id="Rffd2a562422d4822" /></Relationships>
</file>