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b/>
          <w:sz w:val="22"/>
          <w:szCs w:val="22"/>
          <w:lang w:val="ro-RO"/>
        </w:rPr>
      </w:pPr>
      <w:r w:rsidRPr="001F1714">
        <w:rPr>
          <w:b/>
          <w:sz w:val="22"/>
          <w:szCs w:val="22"/>
          <w:highlight w:val="lightGray"/>
          <w:bdr w:val="single" w:sz="4" w:space="0" w:color="auto"/>
          <w:lang w:val="ro-RO"/>
        </w:rPr>
        <w:t>Investiții în infrastructură și servicii publice M8/6B</w:t>
      </w:r>
      <w:r w:rsidRPr="001F1714">
        <w:rPr>
          <w:b/>
          <w:sz w:val="22"/>
          <w:szCs w:val="22"/>
          <w:bdr w:val="single" w:sz="4" w:space="0" w:color="auto"/>
          <w:lang w:val="ro-RO"/>
        </w:rPr>
        <w:t xml:space="preserve">    </w:t>
      </w:r>
    </w:p>
    <w:p w:rsidR="004178DC" w:rsidRPr="001F1714" w:rsidRDefault="004178DC" w:rsidP="001F1714">
      <w:pPr>
        <w:pStyle w:val="Default"/>
        <w:spacing w:line="276" w:lineRule="auto"/>
        <w:contextualSpacing/>
        <w:jc w:val="center"/>
        <w:rPr>
          <w:b/>
          <w:sz w:val="22"/>
          <w:szCs w:val="22"/>
          <w:lang w:val="ro-RO"/>
        </w:rPr>
      </w:pP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Tipul măsurii:</w:t>
      </w:r>
      <w:r w:rsidRPr="001F1714">
        <w:rPr>
          <w:b/>
          <w:sz w:val="22"/>
          <w:szCs w:val="22"/>
          <w:bdr w:val="single" w:sz="4" w:space="0" w:color="auto"/>
          <w:lang w:val="ro-RO"/>
        </w:rPr>
        <w:t>X</w:t>
      </w:r>
      <w:r w:rsidRPr="001F1714">
        <w:rPr>
          <w:b/>
          <w:sz w:val="22"/>
          <w:szCs w:val="22"/>
          <w:lang w:val="ro-RO"/>
        </w:rPr>
        <w:t xml:space="preserve"> INVESTIȚII</w:t>
      </w: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 xml:space="preserve">                     </w:t>
      </w:r>
      <w:r w:rsidRPr="001F1714">
        <w:rPr>
          <w:b/>
          <w:sz w:val="22"/>
          <w:szCs w:val="22"/>
          <w:bdr w:val="single" w:sz="4" w:space="0" w:color="auto"/>
          <w:lang w:val="ro-RO"/>
        </w:rPr>
        <w:t>X</w:t>
      </w:r>
      <w:r w:rsidRPr="001F1714">
        <w:rPr>
          <w:b/>
          <w:sz w:val="22"/>
          <w:szCs w:val="22"/>
          <w:lang w:val="ro-RO"/>
        </w:rPr>
        <w:t xml:space="preserve"> SERVICII</w:t>
      </w: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 xml:space="preserve">                     </w:t>
      </w:r>
      <w:r w:rsidRPr="001F1714">
        <w:rPr>
          <w:b/>
          <w:sz w:val="22"/>
          <w:szCs w:val="22"/>
          <w:bdr w:val="single" w:sz="4" w:space="0" w:color="auto"/>
          <w:lang w:val="ro-RO"/>
        </w:rPr>
        <w:t xml:space="preserve">  </w:t>
      </w:r>
      <w:r w:rsidRPr="001F1714">
        <w:rPr>
          <w:b/>
          <w:sz w:val="22"/>
          <w:szCs w:val="22"/>
          <w:lang w:val="ro-RO"/>
        </w:rPr>
        <w:t xml:space="preserve"> SPRIJIN FORFETAR</w:t>
      </w:r>
    </w:p>
    <w:p w:rsidR="004178DC" w:rsidRPr="001F1714" w:rsidRDefault="004178DC" w:rsidP="001F1714">
      <w:pPr>
        <w:pStyle w:val="Default"/>
        <w:spacing w:line="276" w:lineRule="auto"/>
        <w:contextualSpacing/>
        <w:jc w:val="both"/>
        <w:rPr>
          <w:b/>
          <w:sz w:val="22"/>
          <w:szCs w:val="22"/>
          <w:lang w:val="ro-RO"/>
        </w:rPr>
      </w:pPr>
    </w:p>
    <w:p w:rsidR="004178DC" w:rsidRPr="001F1714" w:rsidRDefault="004178DC" w:rsidP="001F1714">
      <w:pPr>
        <w:pStyle w:val="Default"/>
        <w:numPr>
          <w:ilvl w:val="0"/>
          <w:numId w:val="36"/>
        </w:numPr>
        <w:spacing w:line="276" w:lineRule="auto"/>
        <w:contextualSpacing/>
        <w:jc w:val="both"/>
        <w:rPr>
          <w:b/>
          <w:sz w:val="22"/>
          <w:szCs w:val="22"/>
          <w:lang w:val="ro-RO"/>
        </w:rPr>
      </w:pPr>
      <w:r w:rsidRPr="001F1714">
        <w:rPr>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ind w:firstLine="720"/>
        <w:contextualSpacing/>
        <w:jc w:val="both"/>
        <w:rPr>
          <w:sz w:val="22"/>
          <w:szCs w:val="22"/>
          <w:lang w:val="ro-RO"/>
        </w:rPr>
      </w:pPr>
      <w:r w:rsidRPr="001F1714">
        <w:rPr>
          <w:rFonts w:cs="EUAlbertina"/>
          <w:sz w:val="22"/>
          <w:szCs w:val="22"/>
          <w:lang w:val="ro-RO"/>
        </w:rPr>
        <w:t>Dezvoltarea infrastructurii și a serviciilor locale de bază în zonele rurale, reînnoirea satelor și activitățile care vizează refacerea și modernizarea patrimoniului cultural și natural al satelor și al peisajelor rurale reprezintă elemente esențiale în cadrul oricărui efort de a valorifica potențialul de creștere și de a promova durabilitatea zonelor rurale.</w:t>
      </w:r>
    </w:p>
    <w:p w:rsidR="004178DC" w:rsidRPr="001F1714" w:rsidRDefault="004178DC" w:rsidP="001F1714">
      <w:pPr>
        <w:pStyle w:val="Default"/>
        <w:spacing w:line="276" w:lineRule="auto"/>
        <w:ind w:firstLine="720"/>
        <w:contextualSpacing/>
        <w:jc w:val="both"/>
        <w:rPr>
          <w:sz w:val="22"/>
          <w:szCs w:val="22"/>
          <w:lang w:val="ro-RO"/>
        </w:rPr>
      </w:pPr>
      <w:r w:rsidRPr="001F1714">
        <w:rPr>
          <w:sz w:val="22"/>
          <w:szCs w:val="22"/>
          <w:lang w:val="ro-RO"/>
        </w:rPr>
        <w:t xml:space="preserve">Zona Valea Muntelui are o caracteristică aparte a reliefului, 7 dintre cele 8 localități fiind încadrate în categoria Zone montane. </w:t>
      </w:r>
    </w:p>
    <w:p w:rsidR="004178DC" w:rsidRPr="001F1714" w:rsidRDefault="004178DC" w:rsidP="001F1714">
      <w:pPr>
        <w:pStyle w:val="Default"/>
        <w:spacing w:line="276" w:lineRule="auto"/>
        <w:ind w:firstLine="720"/>
        <w:contextualSpacing/>
        <w:jc w:val="both"/>
        <w:rPr>
          <w:bCs/>
          <w:sz w:val="22"/>
          <w:szCs w:val="22"/>
          <w:lang w:val="ro-RO"/>
        </w:rPr>
      </w:pPr>
      <w:r w:rsidRPr="001F1714">
        <w:rPr>
          <w:sz w:val="22"/>
          <w:szCs w:val="22"/>
          <w:lang w:val="ro-RO"/>
        </w:rPr>
        <w:t xml:space="preserve">Rețeaua hidrografică bogată existentă completează specificul în privința </w:t>
      </w:r>
      <w:r w:rsidRPr="001F1714">
        <w:rPr>
          <w:bCs/>
          <w:sz w:val="22"/>
          <w:szCs w:val="22"/>
          <w:lang w:val="ro-RO"/>
        </w:rPr>
        <w:t xml:space="preserve">infrastructurii de acces. Aceasta este tangențială majoritar cursurilor de apă, de aici rezultând un pericol permanent de afectare în caz de inundații. </w:t>
      </w:r>
    </w:p>
    <w:p w:rsidR="004178DC" w:rsidRPr="001F1714" w:rsidRDefault="004178DC" w:rsidP="001F1714">
      <w:pPr>
        <w:pStyle w:val="Default"/>
        <w:spacing w:line="276" w:lineRule="auto"/>
        <w:ind w:firstLine="720"/>
        <w:contextualSpacing/>
        <w:jc w:val="both"/>
        <w:rPr>
          <w:bCs/>
          <w:sz w:val="22"/>
          <w:szCs w:val="22"/>
          <w:lang w:val="ro-RO"/>
        </w:rPr>
      </w:pPr>
      <w:r w:rsidRPr="001F1714">
        <w:rPr>
          <w:bCs/>
          <w:sz w:val="22"/>
          <w:szCs w:val="22"/>
          <w:lang w:val="ro-RO"/>
        </w:rPr>
        <w:t>Un inventar al obiectivelor principale de infrastructură publică este dat de către autoritățile naționale prin HG 378/2011. Deși scopul principal al actului normativ a fost prezentarea gradului de afectare a infrastructurii publice ca urmare a inundațiilor din vara anului 2010 (50,05%), extragem o situație actualizată a faptului că întreaga zonă are 174,50 km de drumuri comunale și orășenești, 131 de poduri și 150 de podețe.</w:t>
      </w:r>
    </w:p>
    <w:p w:rsidR="004178DC" w:rsidRPr="001F1714" w:rsidRDefault="004178DC" w:rsidP="001F1714">
      <w:pPr>
        <w:pStyle w:val="Default"/>
        <w:spacing w:line="276" w:lineRule="auto"/>
        <w:ind w:firstLine="720"/>
        <w:contextualSpacing/>
        <w:jc w:val="both"/>
        <w:rPr>
          <w:bCs/>
          <w:sz w:val="22"/>
          <w:szCs w:val="22"/>
          <w:lang w:val="ro-RO"/>
        </w:rPr>
      </w:pPr>
      <w:r w:rsidRPr="001F1714">
        <w:rPr>
          <w:sz w:val="22"/>
          <w:szCs w:val="22"/>
          <w:lang w:val="ro-RO"/>
        </w:rPr>
        <w:t>De menționat este și faptul că, locuințele populației au păstrat aceeași caracteristică cu cea a infrastructurii de acces, respectiv de a fi amplasate majoritar în vecinătatea cursurilor de apă, astfel că o afectare a căilor rutiere publice, înseamnă direct și o afectare a locuințelor proprietate privată.</w:t>
      </w:r>
    </w:p>
    <w:p w:rsidR="004178DC" w:rsidRPr="001F1714" w:rsidRDefault="004178DC" w:rsidP="001F1714">
      <w:pPr>
        <w:pStyle w:val="Default"/>
        <w:spacing w:line="276" w:lineRule="auto"/>
        <w:ind w:firstLine="720"/>
        <w:contextualSpacing/>
        <w:jc w:val="both"/>
        <w:rPr>
          <w:sz w:val="22"/>
          <w:szCs w:val="22"/>
          <w:lang w:val="ro-RO"/>
        </w:rPr>
      </w:pPr>
      <w:r w:rsidRPr="001F1714">
        <w:rPr>
          <w:sz w:val="22"/>
          <w:szCs w:val="22"/>
          <w:lang w:val="ro-RO"/>
        </w:rPr>
        <w:t>Dezvoltarea economică locală nu este posibilă fără o deschidere spre accesibilizarea zonelor și întărirea capacității autorităților locale de a interveni prompt în situațiile de necesitate. Astfel posibilitatea sprijinirii dotării serviciilor publice locale de a întreține infrastructura rutieră cu utilaje specializate, devine o nevoie accentuată.</w:t>
      </w:r>
    </w:p>
    <w:p w:rsidR="004178DC" w:rsidRPr="001F1714" w:rsidRDefault="004178DC" w:rsidP="001F1714">
      <w:pPr>
        <w:pStyle w:val="Default"/>
        <w:spacing w:line="276" w:lineRule="auto"/>
        <w:ind w:firstLine="720"/>
        <w:contextualSpacing/>
        <w:jc w:val="both"/>
        <w:rPr>
          <w:sz w:val="22"/>
          <w:szCs w:val="22"/>
          <w:lang w:val="ro-RO"/>
        </w:rPr>
      </w:pPr>
      <w:r w:rsidRPr="001F1714">
        <w:rPr>
          <w:sz w:val="22"/>
          <w:szCs w:val="22"/>
          <w:lang w:val="ro-RO"/>
        </w:rPr>
        <w:t>Totodată, modernizarea infrastructurii rutiere, ce se află în afara procentului de afectare, necesită de asemenea atenție. Există puncte de interes la nivel local (Mănăstirea Diaconești și Cotumba din Agăș, ruinele fostului punct vamal ”Cetatea Rákóczi” în Ghimeș-Făget, Ansamblul Castelului Ghika în Dofteana, Palatul Știrbei în Dărmănești, Mormântul sublocotenentului erou Emil Rebreanu în Palanca), care prin conectarea cu o infrastructură de calitate, facilitează accesul din drumul național DN12A și oferă șansele optime de creștere a atractivității zonei din punct de vedere turistic cât și implicit a calității vieții locuitorilor.</w:t>
      </w:r>
    </w:p>
    <w:p w:rsidR="004178DC" w:rsidRPr="001F1714" w:rsidRDefault="004178DC" w:rsidP="001F1714">
      <w:pPr>
        <w:pStyle w:val="Default"/>
        <w:spacing w:line="276" w:lineRule="auto"/>
        <w:ind w:firstLine="720"/>
        <w:contextualSpacing/>
        <w:jc w:val="both"/>
        <w:rPr>
          <w:sz w:val="22"/>
          <w:szCs w:val="22"/>
          <w:lang w:val="ro-RO"/>
        </w:rPr>
      </w:pPr>
      <w:r w:rsidRPr="001F1714">
        <w:rPr>
          <w:sz w:val="22"/>
          <w:szCs w:val="22"/>
          <w:lang w:val="ro-RO"/>
        </w:rPr>
        <w:t xml:space="preserve">În vederea susținerii unei dezvoltări strategice integrate se va acorda prioritate operațiunilor ce deservesc obiective realizate sau care urmează a fi realizate (publice sau private) din fonduri nerambursabile sau se vor sprijini investițiile asocierilor între localități.   </w:t>
      </w:r>
    </w:p>
    <w:p w:rsidR="004178DC" w:rsidRPr="001F1714" w:rsidRDefault="004178DC" w:rsidP="001F1714">
      <w:pPr>
        <w:pStyle w:val="Default"/>
        <w:spacing w:line="276" w:lineRule="auto"/>
        <w:ind w:firstLine="720"/>
        <w:contextualSpacing/>
        <w:jc w:val="both"/>
        <w:rPr>
          <w:bCs/>
          <w:sz w:val="22"/>
          <w:szCs w:val="22"/>
          <w:lang w:val="ro-RO"/>
        </w:rPr>
      </w:pPr>
    </w:p>
    <w:p w:rsidR="004178DC" w:rsidRPr="001F1714" w:rsidRDefault="004178DC" w:rsidP="001F1714">
      <w:pPr>
        <w:pStyle w:val="Default"/>
        <w:spacing w:line="276" w:lineRule="auto"/>
        <w:contextualSpacing/>
        <w:jc w:val="both"/>
        <w:rPr>
          <w:b/>
          <w:sz w:val="22"/>
          <w:szCs w:val="22"/>
          <w:lang w:val="ro-RO"/>
        </w:rPr>
      </w:pPr>
    </w:p>
    <w:p w:rsidR="004178DC" w:rsidRPr="001F1714" w:rsidRDefault="004178DC" w:rsidP="001F1714">
      <w:pPr>
        <w:pStyle w:val="Default"/>
        <w:spacing w:line="276" w:lineRule="auto"/>
        <w:contextualSpacing/>
        <w:jc w:val="both"/>
        <w:rPr>
          <w:b/>
          <w:sz w:val="22"/>
          <w:szCs w:val="22"/>
          <w:lang w:val="ro-RO"/>
        </w:rPr>
      </w:pPr>
      <w:r w:rsidRPr="001F1714">
        <w:rPr>
          <w:b/>
          <w:sz w:val="22"/>
          <w:szCs w:val="22"/>
          <w:lang w:val="ro-RO"/>
        </w:rPr>
        <w:t>Obiectiv de dezvoltare rurală 3:</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CM4"/>
        <w:spacing w:line="276" w:lineRule="auto"/>
        <w:ind w:firstLine="720"/>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Obținerea unei dezvoltări teritoriale echilibrate a economiilor și comunităților rurale, inclusiv crearea și menținerea de locuri de muncă.</w:t>
      </w:r>
    </w:p>
    <w:p w:rsidR="004178DC" w:rsidRPr="001F1714" w:rsidRDefault="004178DC" w:rsidP="001F1714">
      <w:pPr>
        <w:pStyle w:val="Default"/>
        <w:spacing w:line="276" w:lineRule="auto"/>
        <w:contextualSpacing/>
        <w:rPr>
          <w:sz w:val="22"/>
          <w:szCs w:val="22"/>
          <w:lang w:val="ro-RO"/>
        </w:rPr>
      </w:pPr>
    </w:p>
    <w:p w:rsidR="004178DC" w:rsidRPr="001F1714" w:rsidRDefault="004178DC" w:rsidP="001F1714">
      <w:pPr>
        <w:spacing w:after="0"/>
        <w:contextualSpacing/>
        <w:jc w:val="both"/>
        <w:rPr>
          <w:rFonts w:ascii="Trebuchet MS" w:hAnsi="Trebuchet MS" w:cs="EUAlbertina"/>
          <w:b/>
          <w:color w:val="000000"/>
          <w:lang w:val="ro-RO"/>
        </w:rPr>
      </w:pPr>
      <w:r w:rsidRPr="001F1714">
        <w:rPr>
          <w:rFonts w:ascii="Trebuchet MS" w:hAnsi="Trebuchet MS" w:cs="EUAlbertina"/>
          <w:b/>
          <w:color w:val="000000"/>
          <w:lang w:val="ro-RO"/>
        </w:rPr>
        <w:t>Obiectiv specific al măsurii:</w:t>
      </w:r>
    </w:p>
    <w:p w:rsidR="004178DC" w:rsidRPr="001F1714" w:rsidRDefault="004178DC" w:rsidP="001F1714">
      <w:pPr>
        <w:spacing w:after="0"/>
        <w:contextualSpacing/>
        <w:jc w:val="both"/>
        <w:rPr>
          <w:rFonts w:ascii="Trebuchet MS" w:hAnsi="Trebuchet MS" w:cs="EUAlbertina"/>
          <w:b/>
          <w:color w:val="000000"/>
          <w:lang w:val="ro-RO"/>
        </w:rPr>
      </w:pP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b/>
          <w:color w:val="000000"/>
          <w:lang w:val="ro-RO"/>
        </w:rPr>
        <w:tab/>
      </w:r>
      <w:r w:rsidRPr="001F1714">
        <w:rPr>
          <w:rFonts w:ascii="Trebuchet MS" w:hAnsi="Trebuchet MS" w:cs="EUAlbertina"/>
          <w:color w:val="000000"/>
          <w:lang w:val="ro-RO"/>
        </w:rPr>
        <w:t>Întărirea capacității de intervenție a autorităților locale și creșterea accesibilizării obiectivelor princi</w:t>
      </w:r>
      <w:r>
        <w:rPr>
          <w:rFonts w:ascii="Trebuchet MS" w:hAnsi="Trebuchet MS" w:cs="EUAlbertina"/>
          <w:color w:val="000000"/>
          <w:lang w:val="ro-RO"/>
        </w:rPr>
        <w:t>pale locale prin sprijinirea a 5</w:t>
      </w:r>
      <w:r w:rsidRPr="001F1714">
        <w:rPr>
          <w:rFonts w:ascii="Trebuchet MS" w:hAnsi="Trebuchet MS" w:cs="EUAlbertina"/>
          <w:color w:val="000000"/>
          <w:lang w:val="ro-RO"/>
        </w:rPr>
        <w:t xml:space="preserve"> operațiuni de modernizare a infrastructurii și serviciilor publice.  </w:t>
      </w: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b/>
          <w:color w:val="000000"/>
          <w:lang w:val="ro-RO"/>
        </w:rPr>
        <w:tab/>
      </w: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color w:val="000000"/>
          <w:lang w:val="ro-RO"/>
        </w:rPr>
        <w:t>Măsura contribuie la prioritățile:</w:t>
      </w:r>
    </w:p>
    <w:p w:rsidR="004178DC" w:rsidRPr="001F1714" w:rsidRDefault="004178DC" w:rsidP="001F1714">
      <w:pPr>
        <w:spacing w:after="0"/>
        <w:ind w:firstLine="720"/>
        <w:contextualSpacing/>
        <w:jc w:val="both"/>
        <w:rPr>
          <w:rFonts w:ascii="Trebuchet MS" w:hAnsi="Trebuchet MS" w:cs="EUAlbertina"/>
          <w:color w:val="000000"/>
          <w:lang w:val="ro-RO"/>
        </w:rPr>
      </w:pPr>
      <w:r w:rsidRPr="001F1714">
        <w:rPr>
          <w:rFonts w:ascii="Trebuchet MS" w:hAnsi="Trebuchet MS" w:cs="EUAlbertina"/>
          <w:b/>
          <w:color w:val="000000"/>
          <w:lang w:val="ro-RO"/>
        </w:rPr>
        <w:t xml:space="preserve">P6 </w:t>
      </w:r>
      <w:r w:rsidRPr="001F1714">
        <w:rPr>
          <w:rFonts w:ascii="Trebuchet MS" w:hAnsi="Trebuchet MS" w:cs="EUAlbertina"/>
          <w:color w:val="000000"/>
          <w:lang w:val="ro-RO"/>
        </w:rPr>
        <w:t>Promovarea incluziunii sociale, a reducerii sărăciei și a dezvoltării economice în zonele rurale</w:t>
      </w:r>
    </w:p>
    <w:p w:rsidR="004178DC" w:rsidRPr="001F1714" w:rsidRDefault="004178DC" w:rsidP="001F1714">
      <w:pPr>
        <w:spacing w:after="0"/>
        <w:ind w:firstLine="720"/>
        <w:contextualSpacing/>
        <w:jc w:val="both"/>
        <w:rPr>
          <w:rFonts w:ascii="Trebuchet MS" w:hAnsi="Trebuchet MS" w:cs="EUAlbertina"/>
          <w:color w:val="000000"/>
          <w:lang w:val="ro-RO"/>
        </w:rPr>
      </w:pPr>
    </w:p>
    <w:p w:rsidR="004178DC" w:rsidRPr="001F1714" w:rsidRDefault="004178DC" w:rsidP="001F1714">
      <w:pPr>
        <w:spacing w:after="0"/>
        <w:contextualSpacing/>
        <w:jc w:val="center"/>
        <w:rPr>
          <w:rFonts w:ascii="Trebuchet MS" w:hAnsi="Trebuchet MS" w:cs="EUAlbertina"/>
          <w:color w:val="000000"/>
          <w:lang w:val="ro-RO"/>
        </w:rPr>
      </w:pPr>
      <w:r w:rsidRPr="001F1714">
        <w:rPr>
          <w:rFonts w:ascii="Trebuchet MS" w:hAnsi="Trebuchet MS" w:cs="EUAlbertina"/>
          <w:color w:val="000000"/>
          <w:bdr w:val="single" w:sz="4" w:space="0" w:color="auto"/>
          <w:lang w:val="ro-RO"/>
        </w:rPr>
        <w:t xml:space="preserve">Măsura corespunde obiectivelor </w:t>
      </w:r>
      <w:r w:rsidRPr="001F1714">
        <w:rPr>
          <w:rFonts w:ascii="Trebuchet MS" w:hAnsi="Trebuchet MS" w:cs="EUAlbertina"/>
          <w:b/>
          <w:color w:val="000000"/>
          <w:bdr w:val="single" w:sz="4" w:space="0" w:color="auto"/>
          <w:lang w:val="ro-RO"/>
        </w:rPr>
        <w:t>Art. 20</w:t>
      </w:r>
      <w:r w:rsidRPr="001F1714">
        <w:rPr>
          <w:rFonts w:ascii="Trebuchet MS" w:hAnsi="Trebuchet MS" w:cs="EUAlbertina"/>
          <w:color w:val="000000"/>
          <w:bdr w:val="single" w:sz="4" w:space="0" w:color="auto"/>
          <w:lang w:val="ro-RO"/>
        </w:rPr>
        <w:t xml:space="preserve"> din Reg (UE) nr. 1305/2013.</w:t>
      </w:r>
    </w:p>
    <w:p w:rsidR="004178DC" w:rsidRPr="001F1714" w:rsidRDefault="004178DC" w:rsidP="001F1714">
      <w:pPr>
        <w:spacing w:after="0"/>
        <w:contextualSpacing/>
        <w:jc w:val="both"/>
        <w:rPr>
          <w:rFonts w:ascii="Trebuchet MS" w:hAnsi="Trebuchet MS" w:cs="EUAlbertina"/>
          <w:color w:val="000000"/>
          <w:lang w:val="ro-RO"/>
        </w:rPr>
      </w:pPr>
    </w:p>
    <w:p w:rsidR="004178DC" w:rsidRPr="001F1714" w:rsidRDefault="004178DC" w:rsidP="001F1714">
      <w:pPr>
        <w:spacing w:after="0"/>
        <w:contextualSpacing/>
        <w:jc w:val="both"/>
        <w:rPr>
          <w:rFonts w:ascii="Trebuchet MS" w:hAnsi="Trebuchet MS" w:cs="EUAlbertina"/>
          <w:color w:val="000000"/>
          <w:lang w:val="ro-RO"/>
        </w:rPr>
      </w:pPr>
      <w:r w:rsidRPr="001F1714">
        <w:rPr>
          <w:rFonts w:ascii="Trebuchet MS" w:hAnsi="Trebuchet MS" w:cs="EUAlbertina"/>
          <w:color w:val="000000"/>
          <w:lang w:val="ro-RO"/>
        </w:rPr>
        <w:t>Măsura contribuie la Domeniul de intervenție:</w:t>
      </w:r>
    </w:p>
    <w:p w:rsidR="004178DC" w:rsidRPr="001F1714" w:rsidRDefault="004178DC" w:rsidP="001F1714">
      <w:pPr>
        <w:spacing w:after="0"/>
        <w:ind w:left="720"/>
        <w:contextualSpacing/>
        <w:jc w:val="both"/>
        <w:rPr>
          <w:rFonts w:ascii="Trebuchet MS" w:hAnsi="Trebuchet MS" w:cs="EUAlbertina"/>
          <w:color w:val="000000"/>
          <w:lang w:val="ro-RO"/>
        </w:rPr>
      </w:pPr>
      <w:r w:rsidRPr="001F1714">
        <w:rPr>
          <w:rFonts w:ascii="Trebuchet MS" w:hAnsi="Trebuchet MS" w:cs="EUAlbertina"/>
          <w:b/>
          <w:color w:val="000000"/>
          <w:lang w:val="ro-RO"/>
        </w:rPr>
        <w:t>6B</w:t>
      </w:r>
      <w:r w:rsidRPr="001F1714">
        <w:rPr>
          <w:rFonts w:ascii="Trebuchet MS" w:hAnsi="Trebuchet MS" w:cs="EUAlbertina"/>
          <w:color w:val="000000"/>
          <w:lang w:val="ro-RO"/>
        </w:rPr>
        <w:t xml:space="preserve"> Încurajarea dezvoltării locale în zonele rurale</w:t>
      </w:r>
    </w:p>
    <w:p w:rsidR="004178DC" w:rsidRPr="001F1714" w:rsidRDefault="004178DC" w:rsidP="001F1714">
      <w:pPr>
        <w:spacing w:after="0"/>
        <w:ind w:left="720"/>
        <w:contextualSpacing/>
        <w:jc w:val="both"/>
        <w:rPr>
          <w:rFonts w:ascii="Trebuchet MS" w:hAnsi="Trebuchet MS" w:cs="EUAlbertina"/>
          <w:color w:val="000000"/>
          <w:lang w:val="ro-RO"/>
        </w:rPr>
      </w:pP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 xml:space="preserve">Măsura contribuie la obiectivele transversale ale Reg. (UE) nr. 1305/2013: </w:t>
      </w:r>
      <w:r w:rsidRPr="001F1714">
        <w:rPr>
          <w:rFonts w:ascii="Trebuchet MS" w:hAnsi="Trebuchet MS" w:cs="Trebuchet MS"/>
          <w:b/>
          <w:color w:val="000000"/>
          <w:lang w:val="ro-RO"/>
        </w:rPr>
        <w:t>Inovare</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Complementaritatea cu alte măsuri din SDL: -</w:t>
      </w:r>
    </w:p>
    <w:p w:rsidR="004178DC" w:rsidRPr="001F1714" w:rsidRDefault="004178DC" w:rsidP="001F1714">
      <w:pPr>
        <w:autoSpaceDE w:val="0"/>
        <w:autoSpaceDN w:val="0"/>
        <w:adjustRightInd w:val="0"/>
        <w:spacing w:after="0"/>
        <w:contextualSpacing/>
        <w:jc w:val="both"/>
        <w:rPr>
          <w:rFonts w:ascii="Trebuchet MS" w:hAnsi="Trebuchet MS" w:cs="Trebuchet MS"/>
          <w:color w:val="000000"/>
          <w:lang w:val="ro-RO"/>
        </w:rPr>
      </w:pPr>
      <w:r w:rsidRPr="001F1714">
        <w:rPr>
          <w:rFonts w:ascii="Trebuchet MS" w:hAnsi="Trebuchet MS" w:cs="Trebuchet MS"/>
          <w:color w:val="000000"/>
          <w:lang w:val="ro-RO"/>
        </w:rPr>
        <w:t xml:space="preserve">Sinergia cu alte măsuri din SDL:  </w:t>
      </w:r>
      <w:r w:rsidRPr="001F1714">
        <w:rPr>
          <w:rFonts w:ascii="Trebuchet MS" w:hAnsi="Trebuchet MS" w:cs="Trebuchet MS"/>
          <w:b/>
          <w:color w:val="000000"/>
          <w:lang w:val="ro-RO"/>
        </w:rPr>
        <w:t>M6/6A, M7/6A,</w:t>
      </w:r>
      <w:r w:rsidRPr="001F1714">
        <w:rPr>
          <w:rFonts w:ascii="Trebuchet MS" w:hAnsi="Trebuchet MS" w:cs="Trebuchet MS"/>
          <w:color w:val="000000"/>
          <w:lang w:val="ro-RO"/>
        </w:rPr>
        <w:t xml:space="preserve"> </w:t>
      </w:r>
      <w:r w:rsidRPr="001F1714">
        <w:rPr>
          <w:rFonts w:ascii="Trebuchet MS" w:hAnsi="Trebuchet MS" w:cs="Trebuchet MS"/>
          <w:b/>
          <w:color w:val="000000"/>
          <w:lang w:val="ro-RO"/>
        </w:rPr>
        <w:t>M9/6B, M10/6B, M11/6B</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numPr>
          <w:ilvl w:val="0"/>
          <w:numId w:val="42"/>
        </w:numPr>
        <w:spacing w:line="276" w:lineRule="auto"/>
        <w:ind w:left="0" w:firstLine="0"/>
        <w:contextualSpacing/>
        <w:jc w:val="both"/>
        <w:rPr>
          <w:b/>
          <w:sz w:val="22"/>
          <w:szCs w:val="22"/>
          <w:lang w:val="ro-RO"/>
        </w:rPr>
      </w:pPr>
      <w:r w:rsidRPr="001F1714">
        <w:rPr>
          <w:b/>
          <w:sz w:val="22"/>
          <w:szCs w:val="22"/>
          <w:lang w:val="ro-RO"/>
        </w:rPr>
        <w:t xml:space="preserve">Valoarea adăugată a măsurii </w:t>
      </w:r>
    </w:p>
    <w:p w:rsidR="004178DC" w:rsidRPr="001F1714" w:rsidRDefault="004178DC" w:rsidP="001F1714">
      <w:pPr>
        <w:autoSpaceDE w:val="0"/>
        <w:autoSpaceDN w:val="0"/>
        <w:adjustRightInd w:val="0"/>
        <w:spacing w:after="0"/>
        <w:contextualSpacing/>
        <w:jc w:val="both"/>
        <w:rPr>
          <w:rFonts w:ascii="Trebuchet MS" w:hAnsi="Trebuchet MS"/>
          <w:lang w:val="ro-RO"/>
        </w:rPr>
      </w:pPr>
    </w:p>
    <w:p w:rsidR="004178DC" w:rsidRPr="001F1714" w:rsidRDefault="004178DC" w:rsidP="001F1714">
      <w:pPr>
        <w:pStyle w:val="Default"/>
        <w:spacing w:line="276" w:lineRule="auto"/>
        <w:ind w:firstLine="720"/>
        <w:contextualSpacing/>
        <w:jc w:val="both"/>
        <w:rPr>
          <w:rFonts w:cs="Times New Roman"/>
          <w:sz w:val="22"/>
          <w:szCs w:val="22"/>
          <w:lang w:val="ro-RO"/>
        </w:rPr>
      </w:pPr>
      <w:r w:rsidRPr="001F1714">
        <w:rPr>
          <w:rFonts w:cs="Times New Roman"/>
          <w:sz w:val="22"/>
          <w:szCs w:val="22"/>
          <w:lang w:val="ro-RO"/>
        </w:rPr>
        <w:t>Modernizarea obiectivelor de infrastructură publică de acces se va face ținând seama de specificul local și vor fi corelate cu alte obiective ce au fost sau urmează a fi realizate. Se trasează un caracter integrat al dezvoltării rurale, ce își are gradul de inovare în viziunea locală de a dezvolta strategic o zonă.</w:t>
      </w:r>
    </w:p>
    <w:p w:rsidR="004178DC" w:rsidRPr="001F1714" w:rsidRDefault="004178DC" w:rsidP="001F1714">
      <w:pPr>
        <w:pStyle w:val="Default"/>
        <w:spacing w:line="276" w:lineRule="auto"/>
        <w:ind w:firstLine="360"/>
        <w:contextualSpacing/>
        <w:jc w:val="both"/>
        <w:rPr>
          <w:rFonts w:cs="Times New Roman"/>
          <w:sz w:val="22"/>
          <w:szCs w:val="22"/>
          <w:lang w:val="ro-RO"/>
        </w:rPr>
      </w:pPr>
      <w:r w:rsidRPr="001F1714">
        <w:rPr>
          <w:rFonts w:cs="Times New Roman"/>
          <w:sz w:val="22"/>
          <w:szCs w:val="22"/>
          <w:lang w:val="ro-RO"/>
        </w:rPr>
        <w:t xml:space="preserve">     Prin dotarea serviciilor publice cu utilaje specializate, performante, pentru a face față unor intervenții de întreținere cât și unor situații de urgență, se va contribui la creșterea capacității locale de reacție asupra nevoilor specifice zonei. Totodată, măsura va reprezenta unica posibilitate de finanțare nerambursabilă pentru achiziționarea de utilaje specializate în sectorul public.              </w:t>
      </w:r>
    </w:p>
    <w:p w:rsidR="004178DC" w:rsidRPr="001F1714" w:rsidRDefault="004178DC" w:rsidP="001F1714">
      <w:pPr>
        <w:pStyle w:val="ListParagraph"/>
        <w:autoSpaceDE w:val="0"/>
        <w:autoSpaceDN w:val="0"/>
        <w:adjustRightInd w:val="0"/>
        <w:spacing w:after="0"/>
        <w:ind w:left="0"/>
        <w:jc w:val="both"/>
        <w:rPr>
          <w:rFonts w:ascii="Trebuchet MS" w:hAnsi="Trebuchet MS"/>
          <w:b/>
          <w:lang w:val="ro-RO"/>
        </w:rPr>
      </w:pPr>
    </w:p>
    <w:p w:rsidR="004178DC" w:rsidRPr="001F1714" w:rsidRDefault="004178DC" w:rsidP="001F1714">
      <w:pPr>
        <w:pStyle w:val="ListParagraph"/>
        <w:numPr>
          <w:ilvl w:val="0"/>
          <w:numId w:val="42"/>
        </w:numPr>
        <w:autoSpaceDE w:val="0"/>
        <w:autoSpaceDN w:val="0"/>
        <w:adjustRightInd w:val="0"/>
        <w:spacing w:after="0"/>
        <w:ind w:left="0" w:firstLine="0"/>
        <w:jc w:val="both"/>
        <w:rPr>
          <w:rFonts w:ascii="Trebuchet MS" w:hAnsi="Trebuchet MS"/>
          <w:b/>
          <w:lang w:val="ro-RO"/>
        </w:rPr>
      </w:pPr>
      <w:r w:rsidRPr="001F1714">
        <w:rPr>
          <w:rFonts w:ascii="Trebuchet MS" w:hAnsi="Trebuchet MS"/>
          <w:b/>
          <w:lang w:val="ro-RO"/>
        </w:rPr>
        <w:t xml:space="preserve"> Trimiteri la alte acte legislative</w:t>
      </w:r>
    </w:p>
    <w:p w:rsidR="004178DC" w:rsidRPr="001F1714" w:rsidRDefault="004178DC" w:rsidP="001F1714">
      <w:pPr>
        <w:autoSpaceDE w:val="0"/>
        <w:autoSpaceDN w:val="0"/>
        <w:adjustRightInd w:val="0"/>
        <w:spacing w:after="0"/>
        <w:contextualSpacing/>
        <w:jc w:val="both"/>
        <w:rPr>
          <w:rFonts w:ascii="Trebuchet MS" w:hAnsi="Trebuchet MS"/>
          <w:lang w:val="ro-RO"/>
        </w:rPr>
      </w:pP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Legea 215/2011 a administrației publice locale;</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Ordonanţa de Guvern nr. 26 /2000 cu privire la asociații și fundații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(UE) Nr. 1336/2013 de modificare a Directivelor 2004/17/CE, 2004/18/CE și 2009/81/CE ale Parlamentului European și ale Consiliului în ceea ce privește pragurile de aplicare pentru procedurile de atribuire a contractelor de achiziții</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Regulamentul (UE) Nr. 1306/2013 privind finanțarea, gestionarea și monitorizarea politicii agricole comune</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lastRenderedPageBreak/>
        <w:t>Ordonanţa de Urgenţă a Guvernului (OUG)  Nr. 34/2006 privind atribuirea contractelor de achiziţie publică, a contractelor de concesiune de lucrări publice şi a contractelor de concesiune de servicii cu modificările și completările ulterioare;</w:t>
      </w:r>
    </w:p>
    <w:p w:rsidR="004178DC" w:rsidRPr="001F1714" w:rsidRDefault="004178DC" w:rsidP="001F1714">
      <w:pPr>
        <w:numPr>
          <w:ilvl w:val="0"/>
          <w:numId w:val="2"/>
        </w:numPr>
        <w:autoSpaceDE w:val="0"/>
        <w:autoSpaceDN w:val="0"/>
        <w:adjustRightInd w:val="0"/>
        <w:spacing w:after="0"/>
        <w:contextualSpacing/>
        <w:jc w:val="both"/>
        <w:rPr>
          <w:rFonts w:ascii="Trebuchet MS" w:hAnsi="Trebuchet MS"/>
          <w:color w:val="000000"/>
          <w:lang w:val="ro-RO"/>
        </w:rPr>
      </w:pPr>
      <w:r w:rsidRPr="001F1714">
        <w:rPr>
          <w:rFonts w:ascii="Trebuchet MS" w:hAnsi="Trebuchet MS"/>
          <w:color w:val="000000"/>
          <w:lang w:val="ro-RO"/>
        </w:rPr>
        <w:t>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w:t>
      </w:r>
    </w:p>
    <w:p w:rsidR="004178DC" w:rsidRPr="001F1714" w:rsidRDefault="004178DC" w:rsidP="001F1714">
      <w:pPr>
        <w:pStyle w:val="ListParagraph"/>
        <w:autoSpaceDE w:val="0"/>
        <w:autoSpaceDN w:val="0"/>
        <w:adjustRightInd w:val="0"/>
        <w:spacing w:after="0"/>
        <w:ind w:left="0"/>
        <w:jc w:val="both"/>
        <w:rPr>
          <w:rFonts w:ascii="Trebuchet MS" w:hAnsi="Trebuchet MS"/>
          <w:color w:val="000000"/>
          <w:lang w:val="ro-RO"/>
        </w:rPr>
      </w:pPr>
    </w:p>
    <w:p w:rsidR="004178DC" w:rsidRPr="001F1714" w:rsidRDefault="004178DC" w:rsidP="001F1714">
      <w:pPr>
        <w:pStyle w:val="ListParagraph"/>
        <w:numPr>
          <w:ilvl w:val="0"/>
          <w:numId w:val="42"/>
        </w:numPr>
        <w:autoSpaceDE w:val="0"/>
        <w:autoSpaceDN w:val="0"/>
        <w:adjustRightInd w:val="0"/>
        <w:spacing w:after="0"/>
        <w:ind w:left="0" w:firstLine="0"/>
        <w:jc w:val="both"/>
        <w:rPr>
          <w:rFonts w:ascii="Trebuchet MS" w:hAnsi="Trebuchet MS"/>
          <w:color w:val="000000"/>
          <w:lang w:val="ro-RO"/>
        </w:rPr>
      </w:pPr>
      <w:r w:rsidRPr="001F1714">
        <w:rPr>
          <w:rFonts w:ascii="Trebuchet MS" w:hAnsi="Trebuchet MS"/>
          <w:b/>
          <w:color w:val="000000"/>
          <w:lang w:val="ro-RO"/>
        </w:rPr>
        <w:t xml:space="preserve">Beneficiari direcți/indirecți (grup țintă) </w:t>
      </w:r>
    </w:p>
    <w:p w:rsidR="004178DC" w:rsidRPr="001F1714" w:rsidRDefault="004178DC" w:rsidP="001F1714">
      <w:pPr>
        <w:pStyle w:val="ListParagraph"/>
        <w:autoSpaceDE w:val="0"/>
        <w:autoSpaceDN w:val="0"/>
        <w:adjustRightInd w:val="0"/>
        <w:spacing w:after="0"/>
        <w:ind w:left="0"/>
        <w:jc w:val="both"/>
        <w:rPr>
          <w:rFonts w:ascii="Trebuchet MS" w:hAnsi="Trebuchet MS"/>
          <w:color w:val="000000"/>
          <w:lang w:val="ro-RO"/>
        </w:rPr>
      </w:pPr>
    </w:p>
    <w:p w:rsidR="004178DC" w:rsidRPr="001F1714" w:rsidRDefault="004178DC" w:rsidP="001F1714">
      <w:pPr>
        <w:pStyle w:val="Default"/>
        <w:numPr>
          <w:ilvl w:val="0"/>
          <w:numId w:val="27"/>
        </w:numPr>
        <w:spacing w:line="276" w:lineRule="auto"/>
        <w:ind w:left="1080"/>
        <w:contextualSpacing/>
        <w:rPr>
          <w:sz w:val="22"/>
          <w:szCs w:val="22"/>
          <w:lang w:val="ro-RO"/>
        </w:rPr>
      </w:pPr>
      <w:r w:rsidRPr="001F1714">
        <w:rPr>
          <w:sz w:val="22"/>
          <w:szCs w:val="22"/>
          <w:lang w:val="ro-RO"/>
        </w:rPr>
        <w:t>UAT-uri</w:t>
      </w:r>
    </w:p>
    <w:p w:rsidR="004178DC" w:rsidRPr="001F1714" w:rsidRDefault="004178DC" w:rsidP="001F1714">
      <w:pPr>
        <w:pStyle w:val="Default"/>
        <w:numPr>
          <w:ilvl w:val="0"/>
          <w:numId w:val="27"/>
        </w:numPr>
        <w:spacing w:line="276" w:lineRule="auto"/>
        <w:ind w:left="1080"/>
        <w:contextualSpacing/>
        <w:rPr>
          <w:sz w:val="22"/>
          <w:szCs w:val="22"/>
          <w:lang w:val="ro-RO"/>
        </w:rPr>
      </w:pPr>
      <w:r w:rsidRPr="001F1714">
        <w:rPr>
          <w:sz w:val="22"/>
          <w:szCs w:val="22"/>
          <w:lang w:val="ro-RO"/>
        </w:rPr>
        <w:t>Asociații de Dezvoltare Intercomunitară</w:t>
      </w:r>
    </w:p>
    <w:p w:rsidR="004178DC" w:rsidRPr="001F1714" w:rsidRDefault="004178DC" w:rsidP="001F1714">
      <w:pPr>
        <w:pStyle w:val="Default"/>
        <w:spacing w:line="276" w:lineRule="auto"/>
        <w:ind w:left="1080"/>
        <w:contextualSpacing/>
        <w:rPr>
          <w:sz w:val="22"/>
          <w:szCs w:val="22"/>
          <w:lang w:val="ro-RO"/>
        </w:rPr>
      </w:pPr>
    </w:p>
    <w:p w:rsidR="004178DC" w:rsidRPr="001F1714" w:rsidRDefault="004178DC" w:rsidP="001F1714">
      <w:pPr>
        <w:pStyle w:val="Default"/>
        <w:numPr>
          <w:ilvl w:val="0"/>
          <w:numId w:val="42"/>
        </w:numPr>
        <w:spacing w:line="276" w:lineRule="auto"/>
        <w:contextualSpacing/>
        <w:jc w:val="both"/>
        <w:rPr>
          <w:b/>
          <w:sz w:val="22"/>
          <w:szCs w:val="22"/>
          <w:lang w:val="ro-RO"/>
        </w:rPr>
      </w:pPr>
      <w:r w:rsidRPr="001F1714">
        <w:rPr>
          <w:b/>
          <w:sz w:val="22"/>
          <w:szCs w:val="22"/>
          <w:lang w:val="ro-RO"/>
        </w:rPr>
        <w:t>Tip de sprijin</w:t>
      </w:r>
    </w:p>
    <w:p w:rsidR="004178DC" w:rsidRPr="001F1714" w:rsidRDefault="004178DC" w:rsidP="001F1714">
      <w:pPr>
        <w:pStyle w:val="Default"/>
        <w:spacing w:line="276" w:lineRule="auto"/>
        <w:contextualSpacing/>
        <w:jc w:val="both"/>
        <w:rPr>
          <w:b/>
          <w:sz w:val="22"/>
          <w:szCs w:val="22"/>
          <w:u w:val="single"/>
          <w:lang w:val="ro-RO"/>
        </w:rPr>
      </w:pPr>
    </w:p>
    <w:p w:rsidR="004178DC" w:rsidRPr="001F1714" w:rsidRDefault="004178DC" w:rsidP="001F1714">
      <w:pPr>
        <w:pStyle w:val="ListParagraph"/>
        <w:numPr>
          <w:ilvl w:val="0"/>
          <w:numId w:val="1"/>
        </w:numPr>
        <w:autoSpaceDE w:val="0"/>
        <w:autoSpaceDN w:val="0"/>
        <w:adjustRightInd w:val="0"/>
        <w:spacing w:after="0"/>
        <w:jc w:val="both"/>
        <w:rPr>
          <w:rFonts w:ascii="Trebuchet MS" w:hAnsi="Trebuchet MS"/>
          <w:color w:val="000000"/>
          <w:lang w:val="ro-RO"/>
        </w:rPr>
      </w:pPr>
      <w:r w:rsidRPr="001F1714">
        <w:rPr>
          <w:rFonts w:ascii="Trebuchet MS" w:hAnsi="Trebuchet MS"/>
          <w:color w:val="000000"/>
          <w:lang w:val="ro-RO"/>
        </w:rPr>
        <w:t xml:space="preserve">Rambursarea costurilor eligibile suportate și plătite efectiv; </w:t>
      </w:r>
    </w:p>
    <w:p w:rsidR="004178DC" w:rsidRPr="001F1714" w:rsidRDefault="004178DC" w:rsidP="001F1714">
      <w:pPr>
        <w:pStyle w:val="ListParagraph"/>
        <w:numPr>
          <w:ilvl w:val="0"/>
          <w:numId w:val="1"/>
        </w:numPr>
        <w:autoSpaceDE w:val="0"/>
        <w:autoSpaceDN w:val="0"/>
        <w:adjustRightInd w:val="0"/>
        <w:spacing w:after="0"/>
        <w:jc w:val="both"/>
        <w:rPr>
          <w:rFonts w:ascii="Trebuchet MS" w:hAnsi="Trebuchet MS"/>
          <w:color w:val="000000"/>
          <w:lang w:val="ro-RO"/>
        </w:rPr>
      </w:pPr>
      <w:r w:rsidRPr="001F1714">
        <w:rPr>
          <w:rFonts w:ascii="Trebuchet MS" w:hAnsi="Trebuchet MS"/>
          <w:color w:val="000000"/>
          <w:lang w:val="ro-RO"/>
        </w:rPr>
        <w:t>Plăți în avans până la 50% din ajutorul public acordat de către agenţie cu condiția constituirii unei garanții bancare sau a unei garanții echivalente corespunzătoare procentului de 100 % din valoarea avansului, în conformitate cu art. 45 (4) și art 63 ale R. (CE) nr. 1305/2013;</w:t>
      </w:r>
    </w:p>
    <w:p w:rsidR="004178DC" w:rsidRPr="001F1714" w:rsidRDefault="004178DC" w:rsidP="001F1714">
      <w:pPr>
        <w:pStyle w:val="ListParagraph"/>
        <w:autoSpaceDE w:val="0"/>
        <w:autoSpaceDN w:val="0"/>
        <w:adjustRightInd w:val="0"/>
        <w:spacing w:after="0"/>
        <w:jc w:val="both"/>
        <w:rPr>
          <w:rFonts w:ascii="Trebuchet MS" w:hAnsi="Trebuchet MS"/>
          <w:color w:val="000000"/>
          <w:lang w:val="ro-RO"/>
        </w:rPr>
      </w:pPr>
    </w:p>
    <w:p w:rsidR="004178DC" w:rsidRPr="001F1714" w:rsidRDefault="004178DC" w:rsidP="001F1714">
      <w:pPr>
        <w:pStyle w:val="ListParagraph"/>
        <w:numPr>
          <w:ilvl w:val="0"/>
          <w:numId w:val="42"/>
        </w:numPr>
        <w:autoSpaceDE w:val="0"/>
        <w:autoSpaceDN w:val="0"/>
        <w:adjustRightInd w:val="0"/>
        <w:spacing w:after="0"/>
        <w:jc w:val="both"/>
        <w:rPr>
          <w:rFonts w:ascii="Trebuchet MS" w:hAnsi="Trebuchet MS"/>
          <w:b/>
          <w:color w:val="000000"/>
          <w:lang w:val="ro-RO"/>
        </w:rPr>
      </w:pPr>
      <w:r w:rsidRPr="001F1714">
        <w:rPr>
          <w:rFonts w:ascii="Trebuchet MS" w:hAnsi="Trebuchet MS"/>
          <w:b/>
          <w:color w:val="000000"/>
          <w:lang w:val="ro-RO"/>
        </w:rPr>
        <w:t xml:space="preserve">Tipuri de acțiuni eligibile și neeligibile </w:t>
      </w:r>
    </w:p>
    <w:p w:rsidR="004178DC" w:rsidRPr="001F1714" w:rsidRDefault="004178DC" w:rsidP="001F1714">
      <w:pPr>
        <w:pStyle w:val="Default"/>
        <w:spacing w:line="276" w:lineRule="auto"/>
        <w:contextualSpacing/>
        <w:jc w:val="both"/>
        <w:rPr>
          <w:rFonts w:cs="EUAlbertina"/>
          <w:sz w:val="22"/>
          <w:szCs w:val="22"/>
          <w:lang w:val="ro-RO"/>
        </w:rPr>
      </w:pPr>
    </w:p>
    <w:p w:rsidR="004178DC" w:rsidRPr="001F1714" w:rsidRDefault="004178DC" w:rsidP="001F1714">
      <w:pPr>
        <w:pStyle w:val="ListParagraph"/>
        <w:spacing w:after="0"/>
        <w:ind w:left="360"/>
        <w:jc w:val="both"/>
        <w:rPr>
          <w:rFonts w:ascii="Trebuchet MS" w:hAnsi="Trebuchet MS" w:cs="EUAlbertina"/>
          <w:color w:val="000000"/>
          <w:lang w:val="ro-RO"/>
        </w:rPr>
      </w:pPr>
      <w:r w:rsidRPr="001F1714">
        <w:rPr>
          <w:rFonts w:ascii="Trebuchet MS" w:hAnsi="Trebuchet MS" w:cs="EUAlbertina"/>
          <w:b/>
          <w:color w:val="000000"/>
          <w:lang w:val="ro-RO"/>
        </w:rPr>
        <w:t>Acțiuni eligibile</w:t>
      </w:r>
      <w:r w:rsidRPr="001F1714">
        <w:rPr>
          <w:rFonts w:ascii="Trebuchet MS" w:hAnsi="Trebuchet MS" w:cs="EUAlbertina"/>
          <w:color w:val="000000"/>
          <w:lang w:val="ro-RO"/>
        </w:rPr>
        <w:t>:</w:t>
      </w:r>
    </w:p>
    <w:p w:rsidR="004178DC" w:rsidRPr="001F1714" w:rsidRDefault="004178DC" w:rsidP="001F1714">
      <w:pPr>
        <w:pStyle w:val="ListParagraph"/>
        <w:spacing w:after="0"/>
        <w:jc w:val="both"/>
        <w:rPr>
          <w:rFonts w:ascii="Trebuchet MS" w:hAnsi="Trebuchet MS" w:cs="EUAlbertina"/>
          <w:color w:val="000000"/>
          <w:lang w:val="ro-RO"/>
        </w:rPr>
      </w:pP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elaborarea și actualizarea planurilor de dezvoltare a satelor în zonele rurale și a serviciilor de bază oferite de acestea;</w:t>
      </w: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investiții în crearea, îmbunătățirea și extinderea tuturor tipurilor de infrastructuri la scară mică, inclusiv investiții în domeniul energiei din surse regenerabile și al economisirii energiei</w:t>
      </w:r>
      <w:r w:rsidR="00190A56">
        <w:rPr>
          <w:rFonts w:ascii="Trebuchet MS" w:hAnsi="Trebuchet MS" w:cs="EUAlbertina"/>
          <w:color w:val="000000"/>
          <w:lang w:val="ro-RO"/>
        </w:rPr>
        <w:t>-de exemplu: modernizare drumuri</w:t>
      </w:r>
      <w:r w:rsidR="00E622A2">
        <w:rPr>
          <w:rFonts w:ascii="Trebuchet MS" w:hAnsi="Trebuchet MS" w:cs="EUAlbertina"/>
          <w:color w:val="000000"/>
          <w:lang w:val="ro-RO"/>
        </w:rPr>
        <w:t xml:space="preserve"> locale.</w:t>
      </w: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investiții în crearea, îmbunătățirea sau extinderea serviciilor locale de bază destinate populației rurale, inclusiv a celor de agrement și culturale, și a infrastructurii aferente</w:t>
      </w:r>
      <w:r w:rsidR="00190A56">
        <w:rPr>
          <w:rFonts w:ascii="Trebuchet MS" w:hAnsi="Trebuchet MS" w:cs="EUAlbertina"/>
          <w:color w:val="000000"/>
          <w:lang w:val="ro-RO"/>
        </w:rPr>
        <w:t>- de exemplu achiziţia de utilaje şi echipamente specifice serviciilor de utilitate publică</w:t>
      </w: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investiții de uz public în infrastructura de agrement, în informarea turiștilor și în infrastructura turistică la scară mică;</w:t>
      </w: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investiții asociate cu întreținerea, refacerea și modernizarea patrimoniului cultural și natural al satelor, al peisajelor rurale și al siturilor de înaltă valoare naturală, inclusiv cu aspectele socio</w:t>
      </w:r>
      <w:r>
        <w:rPr>
          <w:rFonts w:ascii="Trebuchet MS" w:hAnsi="Trebuchet MS" w:cs="EUAlbertina"/>
          <w:color w:val="000000"/>
          <w:lang w:val="ro-RO"/>
        </w:rPr>
        <w:t>-</w:t>
      </w:r>
      <w:r w:rsidRPr="001F1714">
        <w:rPr>
          <w:rFonts w:ascii="Trebuchet MS" w:hAnsi="Trebuchet MS" w:cs="EUAlbertina"/>
          <w:color w:val="000000"/>
          <w:lang w:val="ro-RO"/>
        </w:rPr>
        <w:t>economice conexe;</w:t>
      </w:r>
    </w:p>
    <w:p w:rsidR="004178DC" w:rsidRPr="001F1714" w:rsidRDefault="004178DC" w:rsidP="001F1714">
      <w:pPr>
        <w:pStyle w:val="ListParagraph"/>
        <w:numPr>
          <w:ilvl w:val="0"/>
          <w:numId w:val="1"/>
        </w:numPr>
        <w:spacing w:after="0"/>
        <w:jc w:val="both"/>
        <w:rPr>
          <w:rFonts w:ascii="Trebuchet MS" w:hAnsi="Trebuchet MS" w:cs="EUAlbertina"/>
          <w:color w:val="000000"/>
          <w:lang w:val="ro-RO"/>
        </w:rPr>
      </w:pPr>
      <w:r w:rsidRPr="001F1714">
        <w:rPr>
          <w:rFonts w:ascii="Trebuchet MS" w:hAnsi="Trebuchet MS" w:cs="EUAlbertina"/>
          <w:color w:val="000000"/>
          <w:lang w:val="ro-RO"/>
        </w:rPr>
        <w:t>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rsidR="004178DC" w:rsidRPr="001F1714" w:rsidRDefault="004178DC" w:rsidP="001F1714">
      <w:pPr>
        <w:pStyle w:val="Default"/>
        <w:spacing w:line="276" w:lineRule="auto"/>
        <w:ind w:left="1440"/>
        <w:contextualSpacing/>
        <w:jc w:val="both"/>
        <w:rPr>
          <w:rFonts w:cs="Times New Roman"/>
          <w:color w:val="auto"/>
          <w:sz w:val="22"/>
          <w:szCs w:val="22"/>
          <w:lang w:val="ro-RO"/>
        </w:rPr>
      </w:pPr>
    </w:p>
    <w:p w:rsidR="004178DC" w:rsidRPr="001F1714" w:rsidRDefault="004178DC" w:rsidP="001F1714">
      <w:pPr>
        <w:spacing w:after="0"/>
        <w:ind w:firstLine="360"/>
        <w:contextualSpacing/>
        <w:jc w:val="both"/>
        <w:rPr>
          <w:rFonts w:ascii="Trebuchet MS" w:hAnsi="Trebuchet MS" w:cs="EUAlbertina"/>
          <w:color w:val="000000"/>
          <w:lang w:val="ro-RO"/>
        </w:rPr>
      </w:pPr>
      <w:r w:rsidRPr="001F1714">
        <w:rPr>
          <w:rFonts w:ascii="Trebuchet MS" w:hAnsi="Trebuchet MS" w:cs="EUAlbertina"/>
          <w:b/>
          <w:color w:val="000000"/>
          <w:lang w:val="ro-RO"/>
        </w:rPr>
        <w:t>Acțiuni neeligibile</w:t>
      </w:r>
      <w:r w:rsidRPr="001F1714">
        <w:rPr>
          <w:rFonts w:ascii="Trebuchet MS" w:hAnsi="Trebuchet MS" w:cs="EUAlbertina"/>
          <w:color w:val="000000"/>
          <w:lang w:val="ro-RO"/>
        </w:rPr>
        <w:t>:</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cheltuielile cu achiziţionarea de bunuri și echipamente ”second hand”;</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lastRenderedPageBreak/>
        <w:t>cheltuieli cu achiziția utilajelor nespecializate, a mijloacelor de transport pentru uz personal şi pentru transport persoane;</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cheltuieli cu investițiile ce fac obiectul dublei finanțări care vizează aceleași costuri eligibile;</w:t>
      </w:r>
    </w:p>
    <w:p w:rsidR="004178DC" w:rsidRPr="001F1714" w:rsidRDefault="004178DC" w:rsidP="001F1714">
      <w:pPr>
        <w:numPr>
          <w:ilvl w:val="0"/>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cheltuieli în conformitate cu art. 69, alin (3) din R (UE) nr. 1303/2013 și anume:</w:t>
      </w:r>
    </w:p>
    <w:p w:rsidR="004178DC" w:rsidRPr="001F1714" w:rsidRDefault="004178DC" w:rsidP="001F1714">
      <w:pPr>
        <w:numPr>
          <w:ilvl w:val="1"/>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dobânzi debitoare;</w:t>
      </w:r>
    </w:p>
    <w:p w:rsidR="004178DC" w:rsidRPr="001F1714" w:rsidRDefault="004178DC" w:rsidP="001F1714">
      <w:pPr>
        <w:numPr>
          <w:ilvl w:val="1"/>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achiziţionarea de terenuri construite și neconstruite;</w:t>
      </w:r>
    </w:p>
    <w:p w:rsidR="004178DC" w:rsidRPr="001F1714" w:rsidRDefault="004178DC" w:rsidP="001F1714">
      <w:pPr>
        <w:numPr>
          <w:ilvl w:val="1"/>
          <w:numId w:val="1"/>
        </w:numPr>
        <w:tabs>
          <w:tab w:val="left" w:pos="90"/>
          <w:tab w:val="left" w:pos="180"/>
          <w:tab w:val="left" w:pos="270"/>
        </w:tabs>
        <w:spacing w:after="0"/>
        <w:contextualSpacing/>
        <w:jc w:val="both"/>
        <w:rPr>
          <w:rFonts w:ascii="Trebuchet MS" w:hAnsi="Trebuchet MS"/>
          <w:lang w:val="ro-RO"/>
        </w:rPr>
      </w:pPr>
      <w:r w:rsidRPr="001F1714">
        <w:rPr>
          <w:rFonts w:ascii="Trebuchet MS" w:hAnsi="Trebuchet MS"/>
          <w:lang w:val="ro-RO"/>
        </w:rPr>
        <w:t>taxa pe valoarea adăugată, cu excepţia cazului în care aceasta nu se poate recupera în temeiul legislaţiei naţionale privind TVA-ul sau a prevederilor specifice pentru instrumente financiare;</w:t>
      </w:r>
    </w:p>
    <w:p w:rsidR="004178DC" w:rsidRPr="001F1714" w:rsidRDefault="004178DC" w:rsidP="001F1714">
      <w:pPr>
        <w:numPr>
          <w:ilvl w:val="1"/>
          <w:numId w:val="1"/>
        </w:numPr>
        <w:tabs>
          <w:tab w:val="left" w:pos="90"/>
          <w:tab w:val="left" w:pos="180"/>
          <w:tab w:val="left" w:pos="270"/>
        </w:tabs>
        <w:autoSpaceDE w:val="0"/>
        <w:autoSpaceDN w:val="0"/>
        <w:adjustRightInd w:val="0"/>
        <w:spacing w:after="0"/>
        <w:contextualSpacing/>
        <w:jc w:val="both"/>
        <w:rPr>
          <w:rFonts w:ascii="Trebuchet MS" w:hAnsi="Trebuchet MS"/>
          <w:lang w:val="ro-RO"/>
        </w:rPr>
      </w:pPr>
      <w:r w:rsidRPr="001F1714">
        <w:rPr>
          <w:rFonts w:ascii="Trebuchet MS" w:hAnsi="Trebuchet MS"/>
          <w:lang w:val="ro-RO"/>
        </w:rPr>
        <w:t>în cazul contractelor de leasing, celelalte costuri legate de contractele de leasing, cum ar fi marja locatorului, costurile de refinanțare a dobânzilor, cheltuielile generale și cheltuielile de asigurare;</w:t>
      </w:r>
    </w:p>
    <w:p w:rsidR="004178DC" w:rsidRPr="001F1714" w:rsidRDefault="004178DC" w:rsidP="001F1714">
      <w:pPr>
        <w:pStyle w:val="ListParagraph"/>
        <w:numPr>
          <w:ilvl w:val="0"/>
          <w:numId w:val="1"/>
        </w:numPr>
        <w:tabs>
          <w:tab w:val="left" w:pos="90"/>
          <w:tab w:val="left" w:pos="180"/>
          <w:tab w:val="left" w:pos="270"/>
        </w:tabs>
        <w:autoSpaceDE w:val="0"/>
        <w:autoSpaceDN w:val="0"/>
        <w:adjustRightInd w:val="0"/>
        <w:spacing w:after="0"/>
        <w:jc w:val="both"/>
        <w:rPr>
          <w:rFonts w:ascii="Trebuchet MS" w:hAnsi="Trebuchet MS"/>
          <w:lang w:val="ro-RO"/>
        </w:rPr>
      </w:pPr>
      <w:r w:rsidRPr="001F1714">
        <w:rPr>
          <w:rFonts w:ascii="Trebuchet MS" w:hAnsi="Trebuchet MS"/>
          <w:lang w:val="ro-RO"/>
        </w:rPr>
        <w:t>activități conform Art. 14 și 15 din Reg. (EU) 1305/2013.</w:t>
      </w:r>
    </w:p>
    <w:p w:rsidR="00F52B23" w:rsidRDefault="00F52B23">
      <w:pPr>
        <w:pStyle w:val="ListParagraph"/>
        <w:tabs>
          <w:tab w:val="left" w:pos="90"/>
          <w:tab w:val="left" w:pos="180"/>
          <w:tab w:val="left" w:pos="270"/>
        </w:tabs>
        <w:autoSpaceDE w:val="0"/>
        <w:autoSpaceDN w:val="0"/>
        <w:adjustRightInd w:val="0"/>
        <w:spacing w:after="0"/>
        <w:ind w:left="360"/>
        <w:jc w:val="both"/>
        <w:rPr>
          <w:rFonts w:ascii="Trebuchet MS" w:hAnsi="Trebuchet MS"/>
          <w:lang w:val="ro-RO"/>
        </w:rPr>
      </w:pPr>
    </w:p>
    <w:p w:rsidR="001357F0" w:rsidRPr="00106C8F" w:rsidRDefault="001357F0" w:rsidP="00106C8F">
      <w:pPr>
        <w:pStyle w:val="ListParagraph"/>
        <w:tabs>
          <w:tab w:val="left" w:pos="90"/>
          <w:tab w:val="left" w:pos="180"/>
          <w:tab w:val="left" w:pos="270"/>
        </w:tabs>
        <w:autoSpaceDE w:val="0"/>
        <w:autoSpaceDN w:val="0"/>
        <w:adjustRightInd w:val="0"/>
        <w:spacing w:after="0"/>
        <w:ind w:left="0"/>
        <w:jc w:val="both"/>
        <w:rPr>
          <w:rFonts w:ascii="Trebuchet MS" w:hAnsi="Trebuchet MS"/>
          <w:b/>
          <w:lang w:val="ro-RO"/>
        </w:rPr>
      </w:pPr>
      <w:r w:rsidRPr="00106C8F">
        <w:rPr>
          <w:rFonts w:ascii="Trebuchet MS" w:hAnsi="Trebuchet MS" w:cs="Arial"/>
          <w:b/>
          <w:lang w:val="ro-RO" w:eastAsia="ro-RO"/>
        </w:rPr>
        <w:t>Acestea au fost stabilite cu respectarea prevederilor din HG nr. 226/2015, Regulamentele (UE) nr. 1305/2013, nr. 1303/2013, PNDR – cap. 8.1 şi fişa tehnică a Sm 19.2 conform prevederilor din Ghidul Solicitantului, aprobat prin OMADR nr. 295/2016.</w:t>
      </w:r>
    </w:p>
    <w:p w:rsidR="00F52B23" w:rsidRDefault="00F52B23">
      <w:pPr>
        <w:pStyle w:val="ListParagraph"/>
        <w:tabs>
          <w:tab w:val="left" w:pos="90"/>
          <w:tab w:val="left" w:pos="180"/>
          <w:tab w:val="left" w:pos="270"/>
        </w:tabs>
        <w:autoSpaceDE w:val="0"/>
        <w:autoSpaceDN w:val="0"/>
        <w:adjustRightInd w:val="0"/>
        <w:spacing w:after="0"/>
        <w:ind w:left="360"/>
        <w:jc w:val="both"/>
        <w:rPr>
          <w:rFonts w:ascii="Trebuchet MS" w:hAnsi="Trebuchet MS"/>
          <w:lang w:val="ro-RO"/>
        </w:rPr>
      </w:pPr>
    </w:p>
    <w:p w:rsidR="004178DC" w:rsidRPr="001F1714" w:rsidRDefault="004178DC" w:rsidP="001F1714">
      <w:pPr>
        <w:pStyle w:val="Default"/>
        <w:numPr>
          <w:ilvl w:val="0"/>
          <w:numId w:val="42"/>
        </w:numPr>
        <w:spacing w:line="276" w:lineRule="auto"/>
        <w:contextualSpacing/>
        <w:jc w:val="both"/>
        <w:rPr>
          <w:b/>
          <w:sz w:val="22"/>
          <w:szCs w:val="22"/>
          <w:lang w:val="ro-RO"/>
        </w:rPr>
      </w:pPr>
      <w:r w:rsidRPr="001F1714">
        <w:rPr>
          <w:b/>
          <w:bCs/>
          <w:sz w:val="22"/>
          <w:szCs w:val="22"/>
          <w:lang w:val="ro-RO"/>
        </w:rPr>
        <w:t xml:space="preserve">Condiții de eligibilitate </w:t>
      </w:r>
    </w:p>
    <w:p w:rsidR="004178DC" w:rsidRPr="001F1714" w:rsidRDefault="004178DC" w:rsidP="001F1714">
      <w:pPr>
        <w:spacing w:after="0"/>
        <w:contextualSpacing/>
        <w:jc w:val="both"/>
        <w:rPr>
          <w:rFonts w:ascii="Trebuchet MS" w:hAnsi="Trebuchet MS"/>
          <w:lang w:val="ro-RO"/>
        </w:rPr>
      </w:pPr>
    </w:p>
    <w:p w:rsidR="004178DC" w:rsidRPr="001F1714" w:rsidRDefault="004178DC" w:rsidP="001F1714">
      <w:pPr>
        <w:pStyle w:val="ListParagraph"/>
        <w:numPr>
          <w:ilvl w:val="0"/>
          <w:numId w:val="28"/>
        </w:numPr>
        <w:spacing w:after="0"/>
        <w:ind w:left="720"/>
        <w:jc w:val="both"/>
        <w:rPr>
          <w:rFonts w:ascii="Trebuchet MS" w:hAnsi="Trebuchet MS"/>
          <w:lang w:val="ro-RO"/>
        </w:rPr>
      </w:pPr>
      <w:r w:rsidRPr="001F1714">
        <w:rPr>
          <w:rFonts w:ascii="Trebuchet MS" w:hAnsi="Trebuchet MS"/>
          <w:lang w:val="ro-RO"/>
        </w:rPr>
        <w:t>Proiectul trebuie să se încadreze în cel puțin unul dintre tipurile de activități sprijinite prin măsură;</w:t>
      </w:r>
    </w:p>
    <w:p w:rsidR="004178DC" w:rsidRPr="001F1714" w:rsidRDefault="004178DC" w:rsidP="001F1714">
      <w:pPr>
        <w:pStyle w:val="ListParagraph"/>
        <w:numPr>
          <w:ilvl w:val="0"/>
          <w:numId w:val="28"/>
        </w:numPr>
        <w:spacing w:after="0"/>
        <w:ind w:left="720"/>
        <w:jc w:val="both"/>
        <w:rPr>
          <w:rFonts w:ascii="Trebuchet MS" w:hAnsi="Trebuchet MS"/>
          <w:lang w:val="ro-RO"/>
        </w:rPr>
      </w:pPr>
      <w:r w:rsidRPr="001F1714">
        <w:rPr>
          <w:rFonts w:ascii="Trebuchet MS" w:hAnsi="Trebuchet MS"/>
          <w:lang w:val="ro-RO"/>
        </w:rPr>
        <w:t>Solicitantul trebuie să se încadreze în categoria solicitanților eligibili;</w:t>
      </w:r>
    </w:p>
    <w:p w:rsidR="004178DC" w:rsidRPr="001F1714" w:rsidRDefault="004178DC" w:rsidP="001F1714">
      <w:pPr>
        <w:pStyle w:val="ListParagraph"/>
        <w:numPr>
          <w:ilvl w:val="0"/>
          <w:numId w:val="28"/>
        </w:numPr>
        <w:spacing w:after="0"/>
        <w:ind w:left="720"/>
        <w:jc w:val="both"/>
        <w:rPr>
          <w:rFonts w:ascii="Trebuchet MS" w:hAnsi="Trebuchet MS"/>
          <w:lang w:val="ro-RO"/>
        </w:rPr>
      </w:pPr>
      <w:r w:rsidRPr="001F1714">
        <w:rPr>
          <w:rFonts w:ascii="Trebuchet MS" w:hAnsi="Trebuchet MS"/>
          <w:lang w:val="ro-RO"/>
        </w:rPr>
        <w:t>Solicitantul se va angaja la asigurarea mentenanței investiției pe o perioadă de minim 5 ani de la data ultimei plăți;</w:t>
      </w:r>
    </w:p>
    <w:p w:rsidR="004178DC" w:rsidRPr="001F1714" w:rsidRDefault="004178DC" w:rsidP="001F1714">
      <w:pPr>
        <w:pStyle w:val="ListParagraph"/>
        <w:numPr>
          <w:ilvl w:val="0"/>
          <w:numId w:val="28"/>
        </w:numPr>
        <w:spacing w:after="0"/>
        <w:ind w:left="720"/>
        <w:jc w:val="both"/>
        <w:rPr>
          <w:rFonts w:ascii="Trebuchet MS" w:hAnsi="Trebuchet MS"/>
          <w:lang w:val="ro-RO"/>
        </w:rPr>
      </w:pPr>
      <w:r w:rsidRPr="001F1714">
        <w:rPr>
          <w:rFonts w:ascii="Trebuchet MS" w:hAnsi="Trebuchet MS"/>
          <w:color w:val="000000"/>
          <w:lang w:val="ro-RO"/>
        </w:rPr>
        <w:t>Solicitantul trebuie să nu fie în insolvenţă sau incapacitate de plată;</w:t>
      </w:r>
    </w:p>
    <w:p w:rsidR="004178DC" w:rsidRPr="001F1714" w:rsidRDefault="004178DC" w:rsidP="001F1714">
      <w:pPr>
        <w:pStyle w:val="ListParagraph"/>
        <w:spacing w:after="0"/>
        <w:jc w:val="both"/>
        <w:rPr>
          <w:rFonts w:ascii="Trebuchet MS" w:hAnsi="Trebuchet MS"/>
          <w:lang w:val="ro-RO"/>
        </w:rPr>
      </w:pPr>
    </w:p>
    <w:p w:rsidR="004178DC" w:rsidRPr="001F1714" w:rsidRDefault="004178DC" w:rsidP="001F1714">
      <w:pPr>
        <w:pStyle w:val="Default"/>
        <w:numPr>
          <w:ilvl w:val="0"/>
          <w:numId w:val="42"/>
        </w:numPr>
        <w:spacing w:line="276" w:lineRule="auto"/>
        <w:contextualSpacing/>
        <w:jc w:val="both"/>
        <w:rPr>
          <w:b/>
          <w:sz w:val="22"/>
          <w:szCs w:val="22"/>
          <w:lang w:val="ro-RO"/>
        </w:rPr>
      </w:pPr>
      <w:r w:rsidRPr="001F1714">
        <w:rPr>
          <w:b/>
          <w:bCs/>
          <w:sz w:val="22"/>
          <w:szCs w:val="22"/>
          <w:lang w:val="ro-RO"/>
        </w:rPr>
        <w:t xml:space="preserve">Criterii de selecție </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numPr>
          <w:ilvl w:val="0"/>
          <w:numId w:val="29"/>
        </w:numPr>
        <w:spacing w:line="276" w:lineRule="auto"/>
        <w:ind w:left="810"/>
        <w:contextualSpacing/>
        <w:jc w:val="both"/>
        <w:rPr>
          <w:sz w:val="22"/>
          <w:szCs w:val="22"/>
          <w:lang w:val="ro-RO"/>
        </w:rPr>
      </w:pPr>
      <w:r w:rsidRPr="001F1714">
        <w:rPr>
          <w:sz w:val="22"/>
          <w:szCs w:val="22"/>
          <w:lang w:val="ro-RO"/>
        </w:rPr>
        <w:t>Tipul de investiție infrastructură/servicii publice,</w:t>
      </w:r>
    </w:p>
    <w:p w:rsidR="004178DC" w:rsidRPr="001F1714" w:rsidRDefault="004178DC" w:rsidP="001F1714">
      <w:pPr>
        <w:pStyle w:val="Default"/>
        <w:numPr>
          <w:ilvl w:val="0"/>
          <w:numId w:val="29"/>
        </w:numPr>
        <w:spacing w:line="276" w:lineRule="auto"/>
        <w:ind w:left="810"/>
        <w:contextualSpacing/>
        <w:jc w:val="both"/>
        <w:rPr>
          <w:sz w:val="22"/>
          <w:szCs w:val="22"/>
          <w:lang w:val="ro-RO"/>
        </w:rPr>
      </w:pPr>
      <w:r w:rsidRPr="001F1714">
        <w:rPr>
          <w:rFonts w:cs="Times New Roman"/>
          <w:sz w:val="22"/>
          <w:szCs w:val="22"/>
          <w:lang w:val="ro-RO"/>
        </w:rPr>
        <w:t>Îmbină elemente de arhitectură specifică infrastructurii publice locale</w:t>
      </w:r>
    </w:p>
    <w:p w:rsidR="004178DC" w:rsidRPr="001F1714" w:rsidRDefault="004178DC" w:rsidP="001F1714">
      <w:pPr>
        <w:pStyle w:val="Default"/>
        <w:numPr>
          <w:ilvl w:val="0"/>
          <w:numId w:val="29"/>
        </w:numPr>
        <w:spacing w:line="276" w:lineRule="auto"/>
        <w:ind w:left="810"/>
        <w:contextualSpacing/>
        <w:jc w:val="both"/>
        <w:rPr>
          <w:sz w:val="22"/>
          <w:szCs w:val="22"/>
          <w:lang w:val="ro-RO"/>
        </w:rPr>
      </w:pPr>
      <w:r w:rsidRPr="001F1714">
        <w:rPr>
          <w:rFonts w:cs="Times New Roman"/>
          <w:sz w:val="22"/>
          <w:szCs w:val="22"/>
          <w:lang w:val="ro-RO"/>
        </w:rPr>
        <w:t>Corelarea investițiilor/activităților cu alte obiective/investiții locale</w:t>
      </w:r>
    </w:p>
    <w:p w:rsidR="004178DC" w:rsidRPr="001F1714" w:rsidRDefault="004178DC" w:rsidP="001F1714">
      <w:pPr>
        <w:pStyle w:val="Default"/>
        <w:spacing w:line="276" w:lineRule="auto"/>
        <w:ind w:left="810"/>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Punctele 6,7,8 vor fi detaliate în documentele de implementare fără a aduce atingere Art. 49 din Reg. (EU) 1305/2013 și Art. 60 din 1306/2013.</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numPr>
          <w:ilvl w:val="0"/>
          <w:numId w:val="42"/>
        </w:numPr>
        <w:spacing w:line="276" w:lineRule="auto"/>
        <w:contextualSpacing/>
        <w:jc w:val="both"/>
        <w:rPr>
          <w:b/>
          <w:sz w:val="22"/>
          <w:szCs w:val="22"/>
          <w:lang w:val="ro-RO"/>
        </w:rPr>
      </w:pPr>
      <w:r w:rsidRPr="001F1714">
        <w:rPr>
          <w:b/>
          <w:sz w:val="22"/>
          <w:szCs w:val="22"/>
          <w:lang w:val="ro-RO"/>
        </w:rPr>
        <w:t>Sume aplicabile și rata sprijinului</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Măsura face obiectul Art. 67 (1) a, b din Reg. (EU) 1303/2013, însă nu are încadrarea în Anexa II la Reg. (EU) 1305/2013.</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CM1"/>
        <w:spacing w:line="276" w:lineRule="auto"/>
        <w:ind w:firstLine="360"/>
        <w:contextualSpacing/>
        <w:jc w:val="both"/>
        <w:rPr>
          <w:rFonts w:ascii="Trebuchet MS" w:hAnsi="Trebuchet MS" w:cs="EUAlbertina"/>
          <w:color w:val="000000"/>
          <w:sz w:val="22"/>
          <w:szCs w:val="22"/>
          <w:lang w:val="ro-RO"/>
        </w:rPr>
      </w:pPr>
      <w:r w:rsidRPr="001F1714">
        <w:rPr>
          <w:rFonts w:ascii="Trebuchet MS" w:hAnsi="Trebuchet MS" w:cs="EUAlbertina"/>
          <w:color w:val="000000"/>
          <w:sz w:val="22"/>
          <w:szCs w:val="22"/>
          <w:lang w:val="ro-RO"/>
        </w:rPr>
        <w:t xml:space="preserve">Valoarea maximă a sprijinului este de </w:t>
      </w:r>
      <w:r w:rsidRPr="001F1714">
        <w:rPr>
          <w:rFonts w:ascii="Trebuchet MS" w:hAnsi="Trebuchet MS" w:cs="EUAlbertina"/>
          <w:b/>
          <w:color w:val="000000"/>
          <w:sz w:val="22"/>
          <w:szCs w:val="22"/>
          <w:lang w:val="ro-RO"/>
        </w:rPr>
        <w:t>150.000 euro</w:t>
      </w:r>
      <w:r w:rsidRPr="001F1714">
        <w:rPr>
          <w:rFonts w:ascii="Trebuchet MS" w:hAnsi="Trebuchet MS" w:cs="EUAlbertina"/>
          <w:color w:val="000000"/>
          <w:sz w:val="22"/>
          <w:szCs w:val="22"/>
          <w:lang w:val="ro-RO"/>
        </w:rPr>
        <w:t>.</w:t>
      </w:r>
    </w:p>
    <w:p w:rsidR="004178DC" w:rsidRPr="001F1714" w:rsidRDefault="004178DC" w:rsidP="001F1714">
      <w:pPr>
        <w:pStyle w:val="Default"/>
        <w:spacing w:line="276" w:lineRule="auto"/>
        <w:ind w:firstLine="360"/>
        <w:contextualSpacing/>
        <w:jc w:val="both"/>
        <w:rPr>
          <w:sz w:val="22"/>
          <w:szCs w:val="22"/>
          <w:lang w:val="ro-RO"/>
        </w:rPr>
      </w:pPr>
      <w:r w:rsidRPr="001F1714">
        <w:rPr>
          <w:sz w:val="22"/>
          <w:szCs w:val="22"/>
          <w:lang w:val="ro-RO"/>
        </w:rPr>
        <w:t>Rata sprijinului este de:</w:t>
      </w:r>
    </w:p>
    <w:p w:rsidR="004178DC" w:rsidRPr="001F1714" w:rsidRDefault="004178DC" w:rsidP="001F1714">
      <w:pPr>
        <w:pStyle w:val="Default"/>
        <w:numPr>
          <w:ilvl w:val="0"/>
          <w:numId w:val="16"/>
        </w:numPr>
        <w:spacing w:line="276" w:lineRule="auto"/>
        <w:contextualSpacing/>
        <w:jc w:val="both"/>
        <w:rPr>
          <w:sz w:val="22"/>
          <w:szCs w:val="22"/>
          <w:lang w:val="ro-RO"/>
        </w:rPr>
      </w:pPr>
      <w:r w:rsidRPr="001F1714">
        <w:rPr>
          <w:sz w:val="22"/>
          <w:szCs w:val="22"/>
          <w:lang w:val="ro-RO"/>
        </w:rPr>
        <w:t>pentru operațiunile generatoare de venit cu utilitate publică: până la 100%;</w:t>
      </w:r>
    </w:p>
    <w:p w:rsidR="004178DC" w:rsidRPr="001F1714" w:rsidRDefault="004178DC" w:rsidP="001F1714">
      <w:pPr>
        <w:pStyle w:val="Default"/>
        <w:numPr>
          <w:ilvl w:val="0"/>
          <w:numId w:val="16"/>
        </w:numPr>
        <w:spacing w:line="276" w:lineRule="auto"/>
        <w:contextualSpacing/>
        <w:jc w:val="both"/>
        <w:rPr>
          <w:sz w:val="22"/>
          <w:szCs w:val="22"/>
          <w:lang w:val="ro-RO"/>
        </w:rPr>
      </w:pPr>
      <w:r w:rsidRPr="001F1714">
        <w:rPr>
          <w:sz w:val="22"/>
          <w:szCs w:val="22"/>
          <w:lang w:val="ro-RO"/>
        </w:rPr>
        <w:t>pentru operațiunile negeneratoare de venit: până la 100%.</w:t>
      </w:r>
    </w:p>
    <w:p w:rsidR="004178DC" w:rsidRPr="001F1714" w:rsidRDefault="004178DC" w:rsidP="001F1714">
      <w:pPr>
        <w:pStyle w:val="Default"/>
        <w:spacing w:line="276" w:lineRule="auto"/>
        <w:ind w:left="1080"/>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b/>
          <w:sz w:val="22"/>
          <w:szCs w:val="22"/>
          <w:lang w:val="ro-RO"/>
        </w:rPr>
        <w:lastRenderedPageBreak/>
        <w:t>10. Indicatori de monitorizare</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contextualSpacing/>
        <w:jc w:val="both"/>
        <w:rPr>
          <w:b/>
          <w:sz w:val="22"/>
          <w:szCs w:val="22"/>
          <w:lang w:val="ro-RO"/>
        </w:rPr>
      </w:pPr>
      <w:r w:rsidRPr="001F1714">
        <w:rPr>
          <w:sz w:val="22"/>
          <w:szCs w:val="22"/>
          <w:lang w:val="ro-RO"/>
        </w:rPr>
        <w:t xml:space="preserve">Populație netă care beneficiază de servicii/infrastructură îmbunătățite – </w:t>
      </w:r>
      <w:r w:rsidRPr="001F1714">
        <w:rPr>
          <w:b/>
          <w:sz w:val="22"/>
          <w:szCs w:val="22"/>
          <w:lang w:val="ro-RO"/>
        </w:rPr>
        <w:t>3.000</w:t>
      </w:r>
    </w:p>
    <w:p w:rsidR="004178DC" w:rsidRPr="001F1714" w:rsidRDefault="004178DC" w:rsidP="001F1714">
      <w:pPr>
        <w:pStyle w:val="Default"/>
        <w:spacing w:line="276" w:lineRule="auto"/>
        <w:contextualSpacing/>
        <w:jc w:val="both"/>
        <w:rPr>
          <w:b/>
          <w:sz w:val="22"/>
          <w:szCs w:val="22"/>
          <w:lang w:val="ro-RO"/>
        </w:rPr>
      </w:pPr>
      <w:r w:rsidRPr="001F1714">
        <w:rPr>
          <w:sz w:val="22"/>
          <w:szCs w:val="22"/>
          <w:lang w:val="ro-RO"/>
        </w:rPr>
        <w:t xml:space="preserve">Cheltuieli publice totale – </w:t>
      </w:r>
      <w:r w:rsidRPr="001F1714">
        <w:rPr>
          <w:b/>
          <w:sz w:val="22"/>
          <w:szCs w:val="22"/>
          <w:lang w:val="ro-RO"/>
        </w:rPr>
        <w:t>510.000 €</w:t>
      </w:r>
    </w:p>
    <w:p w:rsidR="004178DC" w:rsidRPr="001F1714" w:rsidRDefault="004178DC" w:rsidP="001F1714">
      <w:pPr>
        <w:pStyle w:val="Default"/>
        <w:spacing w:line="276" w:lineRule="auto"/>
        <w:contextualSpacing/>
        <w:jc w:val="both"/>
        <w:rPr>
          <w:sz w:val="22"/>
          <w:szCs w:val="22"/>
          <w:lang w:val="ro-RO"/>
        </w:rPr>
      </w:pPr>
    </w:p>
    <w:p w:rsidR="004178DC" w:rsidRPr="001F1714" w:rsidRDefault="004178DC" w:rsidP="001F1714">
      <w:pPr>
        <w:pStyle w:val="Default"/>
        <w:spacing w:line="276" w:lineRule="auto"/>
        <w:contextualSpacing/>
        <w:jc w:val="both"/>
        <w:rPr>
          <w:sz w:val="22"/>
          <w:szCs w:val="22"/>
          <w:lang w:val="ro-RO"/>
        </w:rPr>
      </w:pPr>
      <w:r w:rsidRPr="001F1714">
        <w:rPr>
          <w:sz w:val="22"/>
          <w:szCs w:val="22"/>
          <w:lang w:val="ro-RO"/>
        </w:rPr>
        <w:t>Aceștia vor fi monitorizați și evaluați în conformitate cu prevederile Art.34 din Reg. (UE) nr. 1303/2013, prin Planul de Evaluare ce va fi elaborat în perioada de implementare.</w:t>
      </w: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color w:val="0070C0"/>
          <w:sz w:val="22"/>
          <w:szCs w:val="22"/>
          <w:lang w:val="ro-RO"/>
        </w:rPr>
      </w:pPr>
      <w:r w:rsidRPr="001F1714">
        <w:rPr>
          <w:color w:val="0070C0"/>
          <w:sz w:val="22"/>
          <w:szCs w:val="22"/>
          <w:lang w:val="ro-RO"/>
        </w:rPr>
        <w:t>____________________________</w:t>
      </w: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Pr="001F1714" w:rsidRDefault="004178DC" w:rsidP="001F1714">
      <w:pPr>
        <w:pStyle w:val="Default"/>
        <w:spacing w:line="276" w:lineRule="auto"/>
        <w:contextualSpacing/>
        <w:jc w:val="center"/>
        <w:rPr>
          <w:sz w:val="22"/>
          <w:szCs w:val="22"/>
          <w:lang w:val="ro-RO"/>
        </w:rPr>
      </w:pPr>
    </w:p>
    <w:p w:rsidR="004178DC" w:rsidRDefault="004178D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Default="00213BAC" w:rsidP="001F1714">
      <w:pPr>
        <w:pStyle w:val="Default"/>
        <w:spacing w:line="276" w:lineRule="auto"/>
        <w:contextualSpacing/>
        <w:jc w:val="center"/>
        <w:rPr>
          <w:sz w:val="22"/>
          <w:szCs w:val="22"/>
          <w:lang w:val="ro-RO"/>
        </w:rPr>
      </w:pPr>
    </w:p>
    <w:p w:rsidR="00213BAC" w:rsidRPr="001F1714" w:rsidRDefault="00213BAC" w:rsidP="001F1714">
      <w:pPr>
        <w:pStyle w:val="Default"/>
        <w:spacing w:line="276" w:lineRule="auto"/>
        <w:contextualSpacing/>
        <w:jc w:val="center"/>
        <w:rPr>
          <w:sz w:val="22"/>
          <w:szCs w:val="22"/>
          <w:lang w:val="ro-RO"/>
        </w:rPr>
      </w:pPr>
      <w:bookmarkStart w:id="0" w:name="_GoBack"/>
      <w:bookmarkEnd w:id="0"/>
    </w:p>
    <w:sectPr w:rsidR="00213BAC" w:rsidRPr="001F1714" w:rsidSect="00614083">
      <w:headerReference w:type="default" r:id="rId8"/>
      <w:footerReference w:type="default" r:id="rId9"/>
      <w:pgSz w:w="11907" w:h="16840" w:code="9"/>
      <w:pgMar w:top="1440" w:right="1440" w:bottom="1440" w:left="1440" w:header="720" w:footer="6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7A" w:rsidRDefault="0014207A" w:rsidP="00564766">
      <w:pPr>
        <w:spacing w:after="0" w:line="240" w:lineRule="auto"/>
      </w:pPr>
      <w:r>
        <w:separator/>
      </w:r>
    </w:p>
  </w:endnote>
  <w:endnote w:type="continuationSeparator" w:id="0">
    <w:p w:rsidR="0014207A" w:rsidRDefault="0014207A" w:rsidP="005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7C" w:rsidRPr="00D80AC1" w:rsidRDefault="008E43AF">
    <w:pPr>
      <w:pStyle w:val="Footer"/>
      <w:jc w:val="center"/>
      <w:rPr>
        <w:noProof/>
        <w:color w:val="808080"/>
      </w:rPr>
    </w:pPr>
    <w:r w:rsidRPr="00D80AC1">
      <w:rPr>
        <w:color w:val="808080"/>
      </w:rPr>
      <w:fldChar w:fldCharType="begin"/>
    </w:r>
    <w:r w:rsidR="00466D7C" w:rsidRPr="00D80AC1">
      <w:rPr>
        <w:color w:val="808080"/>
      </w:rPr>
      <w:instrText xml:space="preserve"> PAGE   \* MERGEFORMAT </w:instrText>
    </w:r>
    <w:r w:rsidRPr="00D80AC1">
      <w:rPr>
        <w:color w:val="808080"/>
      </w:rPr>
      <w:fldChar w:fldCharType="separate"/>
    </w:r>
    <w:r w:rsidR="0046132B">
      <w:rPr>
        <w:noProof/>
        <w:color w:val="808080"/>
      </w:rPr>
      <w:t>1</w:t>
    </w:r>
    <w:r w:rsidRPr="00D80AC1">
      <w:rPr>
        <w:color w:val="808080"/>
      </w:rPr>
      <w:fldChar w:fldCharType="end"/>
    </w:r>
    <w:r w:rsidR="00466D7C" w:rsidRPr="00D80AC1">
      <w:rPr>
        <w:noProof/>
        <w:color w:val="808080"/>
      </w:rPr>
      <w:t xml:space="preserve"> </w:t>
    </w:r>
  </w:p>
  <w:p w:rsidR="00466D7C" w:rsidRPr="00D80AC1" w:rsidRDefault="00466D7C" w:rsidP="00CE5D6B">
    <w:pPr>
      <w:pStyle w:val="Footer"/>
      <w:jc w:val="center"/>
      <w:rPr>
        <w:noProof/>
        <w:color w:val="808080"/>
      </w:rPr>
    </w:pPr>
    <w:r w:rsidRPr="00D80AC1">
      <w:rPr>
        <w:noProof/>
        <w:color w:val="808080"/>
      </w:rPr>
      <w:t>Strategia de Dezvoltare Locală 2014 – 2020</w:t>
    </w:r>
  </w:p>
  <w:p w:rsidR="00466D7C" w:rsidRDefault="0046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7A" w:rsidRDefault="0014207A" w:rsidP="00564766">
      <w:pPr>
        <w:spacing w:after="0" w:line="240" w:lineRule="auto"/>
      </w:pPr>
      <w:r>
        <w:separator/>
      </w:r>
    </w:p>
  </w:footnote>
  <w:footnote w:type="continuationSeparator" w:id="0">
    <w:p w:rsidR="0014207A" w:rsidRDefault="0014207A" w:rsidP="0056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7C" w:rsidRDefault="00EB719E" w:rsidP="00CB03C2">
    <w:pPr>
      <w:pStyle w:val="Header"/>
      <w:jc w:val="right"/>
      <w:rPr>
        <w:color w:val="0070C0"/>
      </w:rPr>
    </w:pPr>
    <w:r>
      <w:rPr>
        <w:noProof/>
      </w:rPr>
      <w:drawing>
        <wp:anchor distT="0" distB="0" distL="114300" distR="114300" simplePos="0" relativeHeight="251658240" behindDoc="0" locked="0" layoutInCell="1" allowOverlap="1">
          <wp:simplePos x="0" y="0"/>
          <wp:positionH relativeFrom="column">
            <wp:posOffset>5126990</wp:posOffset>
          </wp:positionH>
          <wp:positionV relativeFrom="paragraph">
            <wp:posOffset>-330835</wp:posOffset>
          </wp:positionV>
          <wp:extent cx="657225" cy="6216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4578350</wp:posOffset>
          </wp:positionH>
          <wp:positionV relativeFrom="paragraph">
            <wp:posOffset>-249555</wp:posOffset>
          </wp:positionV>
          <wp:extent cx="542925" cy="542925"/>
          <wp:effectExtent l="0" t="0" r="9525"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rsidR="00466D7C" w:rsidRDefault="00466D7C" w:rsidP="00CB03C2">
    <w:pPr>
      <w:pStyle w:val="Header"/>
      <w:jc w:val="right"/>
    </w:pPr>
    <w:r w:rsidRPr="00C82BA2">
      <w:rPr>
        <w:color w:val="0070C0"/>
      </w:rPr>
      <w:t>__</w:t>
    </w:r>
    <w:r>
      <w:rPr>
        <w:color w:val="0070C0"/>
      </w:rPr>
      <w:t>______</w:t>
    </w:r>
    <w:r w:rsidRPr="00C82BA2">
      <w:rPr>
        <w:color w:val="0070C0"/>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F6C"/>
    <w:multiLevelType w:val="hybridMultilevel"/>
    <w:tmpl w:val="D5CCA5C8"/>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0838"/>
    <w:multiLevelType w:val="hybridMultilevel"/>
    <w:tmpl w:val="F44EDC48"/>
    <w:lvl w:ilvl="0" w:tplc="0409000B">
      <w:start w:val="1"/>
      <w:numFmt w:val="bullet"/>
      <w:lvlText w:val=""/>
      <w:lvlJc w:val="left"/>
      <w:pPr>
        <w:ind w:left="1508" w:hanging="360"/>
      </w:pPr>
      <w:rPr>
        <w:rFonts w:ascii="Wingdings" w:hAnsi="Wingdings" w:hint="default"/>
      </w:rPr>
    </w:lvl>
    <w:lvl w:ilvl="1" w:tplc="04090003">
      <w:start w:val="1"/>
      <w:numFmt w:val="bullet"/>
      <w:lvlText w:val="o"/>
      <w:lvlJc w:val="left"/>
      <w:pPr>
        <w:ind w:left="2228" w:hanging="360"/>
      </w:pPr>
      <w:rPr>
        <w:rFonts w:ascii="Courier New" w:hAnsi="Courier New" w:hint="default"/>
      </w:rPr>
    </w:lvl>
    <w:lvl w:ilvl="2" w:tplc="04090005">
      <w:start w:val="1"/>
      <w:numFmt w:val="bullet"/>
      <w:lvlText w:val=""/>
      <w:lvlJc w:val="left"/>
      <w:pPr>
        <w:ind w:left="2948" w:hanging="360"/>
      </w:pPr>
      <w:rPr>
        <w:rFonts w:ascii="Wingdings" w:hAnsi="Wingdings" w:hint="default"/>
      </w:rPr>
    </w:lvl>
    <w:lvl w:ilvl="3" w:tplc="0409000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0E67427B"/>
    <w:multiLevelType w:val="hybridMultilevel"/>
    <w:tmpl w:val="A51820A4"/>
    <w:lvl w:ilvl="0" w:tplc="AB2A1D6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A2E85"/>
    <w:multiLevelType w:val="hybridMultilevel"/>
    <w:tmpl w:val="18F6DFE6"/>
    <w:lvl w:ilvl="0" w:tplc="070486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B3CE6"/>
    <w:multiLevelType w:val="hybridMultilevel"/>
    <w:tmpl w:val="8542A4C8"/>
    <w:lvl w:ilvl="0" w:tplc="351E0F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753EF6"/>
    <w:multiLevelType w:val="hybridMultilevel"/>
    <w:tmpl w:val="6D6E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652A48"/>
    <w:multiLevelType w:val="hybridMultilevel"/>
    <w:tmpl w:val="6E5A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1624B"/>
    <w:multiLevelType w:val="hybridMultilevel"/>
    <w:tmpl w:val="47D2B178"/>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95178"/>
    <w:multiLevelType w:val="hybridMultilevel"/>
    <w:tmpl w:val="63A2CBA2"/>
    <w:lvl w:ilvl="0" w:tplc="21D2D664">
      <w:start w:val="19"/>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11B4847"/>
    <w:multiLevelType w:val="hybridMultilevel"/>
    <w:tmpl w:val="47AC0150"/>
    <w:lvl w:ilvl="0" w:tplc="9E5EE5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450F8B"/>
    <w:multiLevelType w:val="hybridMultilevel"/>
    <w:tmpl w:val="0638F18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22CA6B16"/>
    <w:multiLevelType w:val="hybridMultilevel"/>
    <w:tmpl w:val="DDBE569E"/>
    <w:lvl w:ilvl="0" w:tplc="621C49D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2">
    <w:nsid w:val="23494DE9"/>
    <w:multiLevelType w:val="hybridMultilevel"/>
    <w:tmpl w:val="43F0E138"/>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BC18E5"/>
    <w:multiLevelType w:val="hybridMultilevel"/>
    <w:tmpl w:val="9F76137E"/>
    <w:lvl w:ilvl="0" w:tplc="05748D0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A014C3"/>
    <w:multiLevelType w:val="hybridMultilevel"/>
    <w:tmpl w:val="2A346A08"/>
    <w:lvl w:ilvl="0" w:tplc="CF3CD89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075BF"/>
    <w:multiLevelType w:val="hybridMultilevel"/>
    <w:tmpl w:val="C9A68CEA"/>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027F2D"/>
    <w:multiLevelType w:val="multilevel"/>
    <w:tmpl w:val="A590277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2B8B2183"/>
    <w:multiLevelType w:val="hybridMultilevel"/>
    <w:tmpl w:val="99F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A700A"/>
    <w:multiLevelType w:val="hybridMultilevel"/>
    <w:tmpl w:val="2D5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42296"/>
    <w:multiLevelType w:val="hybridMultilevel"/>
    <w:tmpl w:val="8B581620"/>
    <w:lvl w:ilvl="0" w:tplc="1B780900">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E2255"/>
    <w:multiLevelType w:val="hybridMultilevel"/>
    <w:tmpl w:val="6A2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72CE0"/>
    <w:multiLevelType w:val="hybridMultilevel"/>
    <w:tmpl w:val="67BAD33A"/>
    <w:lvl w:ilvl="0" w:tplc="AE1C0874">
      <w:start w:val="6"/>
      <w:numFmt w:val="decimal"/>
      <w:lvlText w:val="%1)"/>
      <w:lvlJc w:val="left"/>
      <w:pPr>
        <w:ind w:left="1046" w:hanging="360"/>
      </w:pPr>
      <w:rPr>
        <w:rFonts w:cs="Times New Roman" w:hint="default"/>
        <w:b/>
      </w:rPr>
    </w:lvl>
    <w:lvl w:ilvl="1" w:tplc="D3E81A54">
      <w:start w:val="1"/>
      <w:numFmt w:val="decimal"/>
      <w:lvlText w:val="%2."/>
      <w:lvlJc w:val="left"/>
      <w:pPr>
        <w:tabs>
          <w:tab w:val="num" w:pos="1766"/>
        </w:tabs>
        <w:ind w:left="1766" w:hanging="360"/>
      </w:pPr>
      <w:rPr>
        <w:rFonts w:cs="Times New Roman" w:hint="default"/>
      </w:rPr>
    </w:lvl>
    <w:lvl w:ilvl="2" w:tplc="0409001B" w:tentative="1">
      <w:start w:val="1"/>
      <w:numFmt w:val="lowerRoman"/>
      <w:lvlText w:val="%3."/>
      <w:lvlJc w:val="right"/>
      <w:pPr>
        <w:ind w:left="2486" w:hanging="180"/>
      </w:pPr>
      <w:rPr>
        <w:rFonts w:cs="Times New Roman"/>
      </w:rPr>
    </w:lvl>
    <w:lvl w:ilvl="3" w:tplc="0409000F" w:tentative="1">
      <w:start w:val="1"/>
      <w:numFmt w:val="decimal"/>
      <w:lvlText w:val="%4."/>
      <w:lvlJc w:val="left"/>
      <w:pPr>
        <w:ind w:left="3206" w:hanging="360"/>
      </w:pPr>
      <w:rPr>
        <w:rFonts w:cs="Times New Roman"/>
      </w:rPr>
    </w:lvl>
    <w:lvl w:ilvl="4" w:tplc="04090019" w:tentative="1">
      <w:start w:val="1"/>
      <w:numFmt w:val="lowerLetter"/>
      <w:lvlText w:val="%5."/>
      <w:lvlJc w:val="left"/>
      <w:pPr>
        <w:ind w:left="3926" w:hanging="360"/>
      </w:pPr>
      <w:rPr>
        <w:rFonts w:cs="Times New Roman"/>
      </w:rPr>
    </w:lvl>
    <w:lvl w:ilvl="5" w:tplc="0409001B" w:tentative="1">
      <w:start w:val="1"/>
      <w:numFmt w:val="lowerRoman"/>
      <w:lvlText w:val="%6."/>
      <w:lvlJc w:val="right"/>
      <w:pPr>
        <w:ind w:left="4646" w:hanging="180"/>
      </w:pPr>
      <w:rPr>
        <w:rFonts w:cs="Times New Roman"/>
      </w:rPr>
    </w:lvl>
    <w:lvl w:ilvl="6" w:tplc="0409000F" w:tentative="1">
      <w:start w:val="1"/>
      <w:numFmt w:val="decimal"/>
      <w:lvlText w:val="%7."/>
      <w:lvlJc w:val="left"/>
      <w:pPr>
        <w:ind w:left="5366" w:hanging="360"/>
      </w:pPr>
      <w:rPr>
        <w:rFonts w:cs="Times New Roman"/>
      </w:rPr>
    </w:lvl>
    <w:lvl w:ilvl="7" w:tplc="04090019" w:tentative="1">
      <w:start w:val="1"/>
      <w:numFmt w:val="lowerLetter"/>
      <w:lvlText w:val="%8."/>
      <w:lvlJc w:val="left"/>
      <w:pPr>
        <w:ind w:left="6086" w:hanging="360"/>
      </w:pPr>
      <w:rPr>
        <w:rFonts w:cs="Times New Roman"/>
      </w:rPr>
    </w:lvl>
    <w:lvl w:ilvl="8" w:tplc="0409001B" w:tentative="1">
      <w:start w:val="1"/>
      <w:numFmt w:val="lowerRoman"/>
      <w:lvlText w:val="%9."/>
      <w:lvlJc w:val="right"/>
      <w:pPr>
        <w:ind w:left="6806" w:hanging="180"/>
      </w:pPr>
      <w:rPr>
        <w:rFonts w:cs="Times New Roman"/>
      </w:rPr>
    </w:lvl>
  </w:abstractNum>
  <w:abstractNum w:abstractNumId="22">
    <w:nsid w:val="2E3329B6"/>
    <w:multiLevelType w:val="hybridMultilevel"/>
    <w:tmpl w:val="B7468F74"/>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363DC6"/>
    <w:multiLevelType w:val="hybridMultilevel"/>
    <w:tmpl w:val="3F2017CA"/>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51E20"/>
    <w:multiLevelType w:val="hybridMultilevel"/>
    <w:tmpl w:val="15FE0F06"/>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3359C"/>
    <w:multiLevelType w:val="hybridMultilevel"/>
    <w:tmpl w:val="E2EACE42"/>
    <w:lvl w:ilvl="0" w:tplc="34422A14">
      <w:start w:val="1"/>
      <w:numFmt w:val="decimal"/>
      <w:lvlText w:val="%1)"/>
      <w:lvlJc w:val="left"/>
      <w:pPr>
        <w:ind w:left="1046" w:hanging="360"/>
      </w:pPr>
      <w:rPr>
        <w:rFonts w:cs="Times New Roman"/>
        <w:b/>
      </w:rPr>
    </w:lvl>
    <w:lvl w:ilvl="1" w:tplc="04090019" w:tentative="1">
      <w:start w:val="1"/>
      <w:numFmt w:val="lowerLetter"/>
      <w:lvlText w:val="%2."/>
      <w:lvlJc w:val="left"/>
      <w:pPr>
        <w:ind w:left="1766" w:hanging="360"/>
      </w:pPr>
      <w:rPr>
        <w:rFonts w:cs="Times New Roman"/>
      </w:rPr>
    </w:lvl>
    <w:lvl w:ilvl="2" w:tplc="0409001B" w:tentative="1">
      <w:start w:val="1"/>
      <w:numFmt w:val="lowerRoman"/>
      <w:lvlText w:val="%3."/>
      <w:lvlJc w:val="right"/>
      <w:pPr>
        <w:ind w:left="2486" w:hanging="180"/>
      </w:pPr>
      <w:rPr>
        <w:rFonts w:cs="Times New Roman"/>
      </w:rPr>
    </w:lvl>
    <w:lvl w:ilvl="3" w:tplc="0409000F" w:tentative="1">
      <w:start w:val="1"/>
      <w:numFmt w:val="decimal"/>
      <w:lvlText w:val="%4."/>
      <w:lvlJc w:val="left"/>
      <w:pPr>
        <w:ind w:left="3206" w:hanging="360"/>
      </w:pPr>
      <w:rPr>
        <w:rFonts w:cs="Times New Roman"/>
      </w:rPr>
    </w:lvl>
    <w:lvl w:ilvl="4" w:tplc="04090019" w:tentative="1">
      <w:start w:val="1"/>
      <w:numFmt w:val="lowerLetter"/>
      <w:lvlText w:val="%5."/>
      <w:lvlJc w:val="left"/>
      <w:pPr>
        <w:ind w:left="3926" w:hanging="360"/>
      </w:pPr>
      <w:rPr>
        <w:rFonts w:cs="Times New Roman"/>
      </w:rPr>
    </w:lvl>
    <w:lvl w:ilvl="5" w:tplc="0409001B" w:tentative="1">
      <w:start w:val="1"/>
      <w:numFmt w:val="lowerRoman"/>
      <w:lvlText w:val="%6."/>
      <w:lvlJc w:val="right"/>
      <w:pPr>
        <w:ind w:left="4646" w:hanging="180"/>
      </w:pPr>
      <w:rPr>
        <w:rFonts w:cs="Times New Roman"/>
      </w:rPr>
    </w:lvl>
    <w:lvl w:ilvl="6" w:tplc="0409000F" w:tentative="1">
      <w:start w:val="1"/>
      <w:numFmt w:val="decimal"/>
      <w:lvlText w:val="%7."/>
      <w:lvlJc w:val="left"/>
      <w:pPr>
        <w:ind w:left="5366" w:hanging="360"/>
      </w:pPr>
      <w:rPr>
        <w:rFonts w:cs="Times New Roman"/>
      </w:rPr>
    </w:lvl>
    <w:lvl w:ilvl="7" w:tplc="04090019" w:tentative="1">
      <w:start w:val="1"/>
      <w:numFmt w:val="lowerLetter"/>
      <w:lvlText w:val="%8."/>
      <w:lvlJc w:val="left"/>
      <w:pPr>
        <w:ind w:left="6086" w:hanging="360"/>
      </w:pPr>
      <w:rPr>
        <w:rFonts w:cs="Times New Roman"/>
      </w:rPr>
    </w:lvl>
    <w:lvl w:ilvl="8" w:tplc="0409001B" w:tentative="1">
      <w:start w:val="1"/>
      <w:numFmt w:val="lowerRoman"/>
      <w:lvlText w:val="%9."/>
      <w:lvlJc w:val="right"/>
      <w:pPr>
        <w:ind w:left="6806" w:hanging="180"/>
      </w:pPr>
      <w:rPr>
        <w:rFonts w:cs="Times New Roman"/>
      </w:rPr>
    </w:lvl>
  </w:abstractNum>
  <w:abstractNum w:abstractNumId="26">
    <w:nsid w:val="38A30126"/>
    <w:multiLevelType w:val="hybridMultilevel"/>
    <w:tmpl w:val="25966F9A"/>
    <w:lvl w:ilvl="0" w:tplc="C9B0EB3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95E1722"/>
    <w:multiLevelType w:val="hybridMultilevel"/>
    <w:tmpl w:val="662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56474C"/>
    <w:multiLevelType w:val="hybridMultilevel"/>
    <w:tmpl w:val="C75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B67800"/>
    <w:multiLevelType w:val="hybridMultilevel"/>
    <w:tmpl w:val="3C88895C"/>
    <w:lvl w:ilvl="0" w:tplc="CA70D42C">
      <w:start w:val="3"/>
      <w:numFmt w:val="bullet"/>
      <w:lvlText w:val="-"/>
      <w:lvlJc w:val="left"/>
      <w:pPr>
        <w:ind w:left="720" w:hanging="360"/>
      </w:pPr>
      <w:rPr>
        <w:rFonts w:ascii="Trebuchet MS" w:eastAsia="Times New Roman" w:hAnsi="Trebuchet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3EFB7717"/>
    <w:multiLevelType w:val="hybridMultilevel"/>
    <w:tmpl w:val="0194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62390D"/>
    <w:multiLevelType w:val="hybridMultilevel"/>
    <w:tmpl w:val="5EBA7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5EF305C"/>
    <w:multiLevelType w:val="hybridMultilevel"/>
    <w:tmpl w:val="327E9B54"/>
    <w:lvl w:ilvl="0" w:tplc="4EDA6C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78E622A"/>
    <w:multiLevelType w:val="hybridMultilevel"/>
    <w:tmpl w:val="3E300228"/>
    <w:lvl w:ilvl="0" w:tplc="04090001">
      <w:start w:val="1"/>
      <w:numFmt w:val="bullet"/>
      <w:lvlText w:val=""/>
      <w:lvlJc w:val="left"/>
      <w:pPr>
        <w:ind w:left="720" w:hanging="360"/>
      </w:pPr>
      <w:rPr>
        <w:rFonts w:ascii="Symbol" w:hAnsi="Symbol" w:hint="default"/>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C62D8D"/>
    <w:multiLevelType w:val="hybridMultilevel"/>
    <w:tmpl w:val="45A4F3EC"/>
    <w:lvl w:ilvl="0" w:tplc="4826503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3B46072"/>
    <w:multiLevelType w:val="hybridMultilevel"/>
    <w:tmpl w:val="7C50884E"/>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A374C1"/>
    <w:multiLevelType w:val="hybridMultilevel"/>
    <w:tmpl w:val="B9766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9F3CDF"/>
    <w:multiLevelType w:val="hybridMultilevel"/>
    <w:tmpl w:val="000C0680"/>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8E0886"/>
    <w:multiLevelType w:val="hybridMultilevel"/>
    <w:tmpl w:val="43F6A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9B5E91"/>
    <w:multiLevelType w:val="hybridMultilevel"/>
    <w:tmpl w:val="7112212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0">
    <w:nsid w:val="5DB36CC5"/>
    <w:multiLevelType w:val="hybridMultilevel"/>
    <w:tmpl w:val="A76C6616"/>
    <w:lvl w:ilvl="0" w:tplc="F43401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3E34E9B"/>
    <w:multiLevelType w:val="hybridMultilevel"/>
    <w:tmpl w:val="CE9CF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56A7188"/>
    <w:multiLevelType w:val="hybridMultilevel"/>
    <w:tmpl w:val="92FEB37C"/>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F90DA3"/>
    <w:multiLevelType w:val="hybridMultilevel"/>
    <w:tmpl w:val="A6AED6CE"/>
    <w:lvl w:ilvl="0" w:tplc="CF3CD89A">
      <w:start w:val="2"/>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89B62E3"/>
    <w:multiLevelType w:val="hybridMultilevel"/>
    <w:tmpl w:val="174E919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45">
    <w:nsid w:val="69C02CCC"/>
    <w:multiLevelType w:val="hybridMultilevel"/>
    <w:tmpl w:val="B2EEE6DE"/>
    <w:lvl w:ilvl="0" w:tplc="00BEB8A0">
      <w:start w:val="1999"/>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641A89"/>
    <w:multiLevelType w:val="hybridMultilevel"/>
    <w:tmpl w:val="5C687402"/>
    <w:lvl w:ilvl="0" w:tplc="00BEB8A0">
      <w:start w:val="1999"/>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C7D5670"/>
    <w:multiLevelType w:val="hybridMultilevel"/>
    <w:tmpl w:val="EAB0EBDC"/>
    <w:lvl w:ilvl="0" w:tplc="D6A4DE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E9A59AD"/>
    <w:multiLevelType w:val="hybridMultilevel"/>
    <w:tmpl w:val="13AC2260"/>
    <w:lvl w:ilvl="0" w:tplc="CF3CD89A">
      <w:start w:val="2"/>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BA7909"/>
    <w:multiLevelType w:val="hybridMultilevel"/>
    <w:tmpl w:val="2594078E"/>
    <w:lvl w:ilvl="0" w:tplc="E32CA2F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333288"/>
    <w:multiLevelType w:val="hybridMultilevel"/>
    <w:tmpl w:val="815C0FFE"/>
    <w:lvl w:ilvl="0" w:tplc="FCAE47BE">
      <w:start w:val="1"/>
      <w:numFmt w:val="bullet"/>
      <w:lvlText w:val=""/>
      <w:lvlJc w:val="left"/>
      <w:pPr>
        <w:ind w:left="1467" w:hanging="360"/>
      </w:pPr>
      <w:rPr>
        <w:rFonts w:ascii="Symbol" w:hAnsi="Symbol" w:hint="default"/>
        <w:color w:val="auto"/>
      </w:rPr>
    </w:lvl>
    <w:lvl w:ilvl="1" w:tplc="04090003" w:tentative="1">
      <w:start w:val="1"/>
      <w:numFmt w:val="bullet"/>
      <w:lvlText w:val="o"/>
      <w:lvlJc w:val="left"/>
      <w:pPr>
        <w:ind w:left="2187" w:hanging="360"/>
      </w:pPr>
      <w:rPr>
        <w:rFonts w:ascii="Courier New" w:hAnsi="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51">
    <w:nsid w:val="745B1775"/>
    <w:multiLevelType w:val="hybridMultilevel"/>
    <w:tmpl w:val="FB905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72F1A74"/>
    <w:multiLevelType w:val="hybridMultilevel"/>
    <w:tmpl w:val="5304162C"/>
    <w:lvl w:ilvl="0" w:tplc="20E41DBE">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437A82"/>
    <w:multiLevelType w:val="hybridMultilevel"/>
    <w:tmpl w:val="4D0A0632"/>
    <w:lvl w:ilvl="0" w:tplc="CF3CD89A">
      <w:start w:val="2"/>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D72EB9"/>
    <w:multiLevelType w:val="hybridMultilevel"/>
    <w:tmpl w:val="88849A62"/>
    <w:lvl w:ilvl="0" w:tplc="8654A4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7C8265D6"/>
    <w:multiLevelType w:val="hybridMultilevel"/>
    <w:tmpl w:val="A4DAEEF0"/>
    <w:lvl w:ilvl="0" w:tplc="6F50B74E">
      <w:start w:val="3"/>
      <w:numFmt w:val="bullet"/>
      <w:lvlText w:val="-"/>
      <w:lvlJc w:val="left"/>
      <w:pPr>
        <w:ind w:left="720" w:hanging="360"/>
      </w:pPr>
      <w:rPr>
        <w:rFonts w:ascii="EUAlbertina" w:eastAsia="Times New Roman" w:hAnsi="EUAlbertina" w:hint="default"/>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14"/>
  </w:num>
  <w:num w:numId="3">
    <w:abstractNumId w:val="25"/>
  </w:num>
  <w:num w:numId="4">
    <w:abstractNumId w:val="52"/>
  </w:num>
  <w:num w:numId="5">
    <w:abstractNumId w:val="22"/>
  </w:num>
  <w:num w:numId="6">
    <w:abstractNumId w:val="42"/>
  </w:num>
  <w:num w:numId="7">
    <w:abstractNumId w:val="7"/>
  </w:num>
  <w:num w:numId="8">
    <w:abstractNumId w:val="43"/>
  </w:num>
  <w:num w:numId="9">
    <w:abstractNumId w:val="0"/>
  </w:num>
  <w:num w:numId="10">
    <w:abstractNumId w:val="21"/>
  </w:num>
  <w:num w:numId="11">
    <w:abstractNumId w:val="51"/>
  </w:num>
  <w:num w:numId="12">
    <w:abstractNumId w:val="19"/>
  </w:num>
  <w:num w:numId="13">
    <w:abstractNumId w:val="30"/>
  </w:num>
  <w:num w:numId="14">
    <w:abstractNumId w:val="10"/>
  </w:num>
  <w:num w:numId="15">
    <w:abstractNumId w:val="28"/>
  </w:num>
  <w:num w:numId="16">
    <w:abstractNumId w:val="49"/>
  </w:num>
  <w:num w:numId="17">
    <w:abstractNumId w:val="20"/>
  </w:num>
  <w:num w:numId="18">
    <w:abstractNumId w:val="27"/>
  </w:num>
  <w:num w:numId="19">
    <w:abstractNumId w:val="23"/>
  </w:num>
  <w:num w:numId="20">
    <w:abstractNumId w:val="41"/>
  </w:num>
  <w:num w:numId="21">
    <w:abstractNumId w:val="40"/>
  </w:num>
  <w:num w:numId="22">
    <w:abstractNumId w:val="34"/>
  </w:num>
  <w:num w:numId="23">
    <w:abstractNumId w:val="35"/>
  </w:num>
  <w:num w:numId="24">
    <w:abstractNumId w:val="44"/>
  </w:num>
  <w:num w:numId="25">
    <w:abstractNumId w:val="4"/>
  </w:num>
  <w:num w:numId="26">
    <w:abstractNumId w:val="15"/>
  </w:num>
  <w:num w:numId="27">
    <w:abstractNumId w:val="50"/>
  </w:num>
  <w:num w:numId="28">
    <w:abstractNumId w:val="48"/>
  </w:num>
  <w:num w:numId="29">
    <w:abstractNumId w:val="37"/>
  </w:num>
  <w:num w:numId="30">
    <w:abstractNumId w:val="24"/>
  </w:num>
  <w:num w:numId="31">
    <w:abstractNumId w:val="53"/>
  </w:num>
  <w:num w:numId="32">
    <w:abstractNumId w:val="17"/>
  </w:num>
  <w:num w:numId="33">
    <w:abstractNumId w:val="13"/>
  </w:num>
  <w:num w:numId="34">
    <w:abstractNumId w:val="12"/>
  </w:num>
  <w:num w:numId="35">
    <w:abstractNumId w:val="9"/>
  </w:num>
  <w:num w:numId="36">
    <w:abstractNumId w:val="31"/>
  </w:num>
  <w:num w:numId="37">
    <w:abstractNumId w:val="5"/>
  </w:num>
  <w:num w:numId="38">
    <w:abstractNumId w:val="3"/>
  </w:num>
  <w:num w:numId="39">
    <w:abstractNumId w:val="47"/>
  </w:num>
  <w:num w:numId="40">
    <w:abstractNumId w:val="32"/>
  </w:num>
  <w:num w:numId="41">
    <w:abstractNumId w:val="2"/>
  </w:num>
  <w:num w:numId="42">
    <w:abstractNumId w:val="26"/>
  </w:num>
  <w:num w:numId="43">
    <w:abstractNumId w:val="39"/>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6"/>
  </w:num>
  <w:num w:numId="47">
    <w:abstractNumId w:val="36"/>
  </w:num>
  <w:num w:numId="48">
    <w:abstractNumId w:val="38"/>
  </w:num>
  <w:num w:numId="49">
    <w:abstractNumId w:val="1"/>
  </w:num>
  <w:num w:numId="50">
    <w:abstractNumId w:val="18"/>
  </w:num>
  <w:num w:numId="51">
    <w:abstractNumId w:val="54"/>
  </w:num>
  <w:num w:numId="52">
    <w:abstractNumId w:val="11"/>
  </w:num>
  <w:num w:numId="53">
    <w:abstractNumId w:val="6"/>
  </w:num>
  <w:num w:numId="54">
    <w:abstractNumId w:val="8"/>
  </w:num>
  <w:num w:numId="55">
    <w:abstractNumId w:val="33"/>
  </w:num>
  <w:num w:numId="56">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66"/>
    <w:rsid w:val="0000386E"/>
    <w:rsid w:val="00005E6C"/>
    <w:rsid w:val="000066CF"/>
    <w:rsid w:val="00027A14"/>
    <w:rsid w:val="0004141E"/>
    <w:rsid w:val="0004150C"/>
    <w:rsid w:val="000435FE"/>
    <w:rsid w:val="00052F6F"/>
    <w:rsid w:val="00053287"/>
    <w:rsid w:val="0006479B"/>
    <w:rsid w:val="00076796"/>
    <w:rsid w:val="00077348"/>
    <w:rsid w:val="000779ED"/>
    <w:rsid w:val="00080927"/>
    <w:rsid w:val="000861BA"/>
    <w:rsid w:val="00090897"/>
    <w:rsid w:val="0009646F"/>
    <w:rsid w:val="000A2DE6"/>
    <w:rsid w:val="000A673E"/>
    <w:rsid w:val="000A7394"/>
    <w:rsid w:val="000B15D7"/>
    <w:rsid w:val="000B1B0C"/>
    <w:rsid w:val="000C454D"/>
    <w:rsid w:val="000C74ED"/>
    <w:rsid w:val="000D3D59"/>
    <w:rsid w:val="000E242E"/>
    <w:rsid w:val="000E32B5"/>
    <w:rsid w:val="000E35BB"/>
    <w:rsid w:val="000E6FDA"/>
    <w:rsid w:val="000F7DDF"/>
    <w:rsid w:val="000F7E66"/>
    <w:rsid w:val="00103237"/>
    <w:rsid w:val="00105D8B"/>
    <w:rsid w:val="00106C8F"/>
    <w:rsid w:val="00107BC6"/>
    <w:rsid w:val="00110034"/>
    <w:rsid w:val="00113622"/>
    <w:rsid w:val="00113926"/>
    <w:rsid w:val="00116093"/>
    <w:rsid w:val="001229DB"/>
    <w:rsid w:val="00123E68"/>
    <w:rsid w:val="00132B25"/>
    <w:rsid w:val="00135093"/>
    <w:rsid w:val="001357F0"/>
    <w:rsid w:val="00135CA2"/>
    <w:rsid w:val="001372FB"/>
    <w:rsid w:val="0014207A"/>
    <w:rsid w:val="00143764"/>
    <w:rsid w:val="00144C9A"/>
    <w:rsid w:val="00145B08"/>
    <w:rsid w:val="00150C81"/>
    <w:rsid w:val="00153DD7"/>
    <w:rsid w:val="00153DF7"/>
    <w:rsid w:val="001573DD"/>
    <w:rsid w:val="001705A6"/>
    <w:rsid w:val="00172E1A"/>
    <w:rsid w:val="001758BB"/>
    <w:rsid w:val="00176C3F"/>
    <w:rsid w:val="00181ECC"/>
    <w:rsid w:val="00185D98"/>
    <w:rsid w:val="00190A56"/>
    <w:rsid w:val="0019464B"/>
    <w:rsid w:val="00197716"/>
    <w:rsid w:val="001A67BB"/>
    <w:rsid w:val="001B2841"/>
    <w:rsid w:val="001B5AC0"/>
    <w:rsid w:val="001C244D"/>
    <w:rsid w:val="001C77AE"/>
    <w:rsid w:val="001D3723"/>
    <w:rsid w:val="001D4531"/>
    <w:rsid w:val="001E1474"/>
    <w:rsid w:val="001E669A"/>
    <w:rsid w:val="001E79C0"/>
    <w:rsid w:val="001F1154"/>
    <w:rsid w:val="001F1714"/>
    <w:rsid w:val="001F2171"/>
    <w:rsid w:val="001F31C9"/>
    <w:rsid w:val="001F54AA"/>
    <w:rsid w:val="001F6650"/>
    <w:rsid w:val="001F774B"/>
    <w:rsid w:val="001F7D27"/>
    <w:rsid w:val="00200CC8"/>
    <w:rsid w:val="00203679"/>
    <w:rsid w:val="00211B8E"/>
    <w:rsid w:val="00213BAC"/>
    <w:rsid w:val="00217C62"/>
    <w:rsid w:val="00224B9C"/>
    <w:rsid w:val="002372F0"/>
    <w:rsid w:val="00246A44"/>
    <w:rsid w:val="00247F2A"/>
    <w:rsid w:val="0025184D"/>
    <w:rsid w:val="002526BD"/>
    <w:rsid w:val="002561DF"/>
    <w:rsid w:val="00260E1F"/>
    <w:rsid w:val="002624B3"/>
    <w:rsid w:val="00267B50"/>
    <w:rsid w:val="00270DC6"/>
    <w:rsid w:val="00272E0F"/>
    <w:rsid w:val="00274993"/>
    <w:rsid w:val="002778D9"/>
    <w:rsid w:val="002800FA"/>
    <w:rsid w:val="00281ACE"/>
    <w:rsid w:val="00282FFE"/>
    <w:rsid w:val="0028371A"/>
    <w:rsid w:val="0028375D"/>
    <w:rsid w:val="002842F4"/>
    <w:rsid w:val="002856AE"/>
    <w:rsid w:val="00287002"/>
    <w:rsid w:val="00294F3E"/>
    <w:rsid w:val="002A0CD8"/>
    <w:rsid w:val="002A3169"/>
    <w:rsid w:val="002A6F7D"/>
    <w:rsid w:val="002A757A"/>
    <w:rsid w:val="002B38D2"/>
    <w:rsid w:val="002D611C"/>
    <w:rsid w:val="002E55C7"/>
    <w:rsid w:val="002E644A"/>
    <w:rsid w:val="002E6F5F"/>
    <w:rsid w:val="002F2B16"/>
    <w:rsid w:val="002F3998"/>
    <w:rsid w:val="002F52DE"/>
    <w:rsid w:val="002F6CD4"/>
    <w:rsid w:val="00302361"/>
    <w:rsid w:val="003068D6"/>
    <w:rsid w:val="00314B73"/>
    <w:rsid w:val="00324571"/>
    <w:rsid w:val="00325E05"/>
    <w:rsid w:val="003304E6"/>
    <w:rsid w:val="00330F69"/>
    <w:rsid w:val="00335965"/>
    <w:rsid w:val="00336AF5"/>
    <w:rsid w:val="0034005D"/>
    <w:rsid w:val="003437DE"/>
    <w:rsid w:val="00352C5A"/>
    <w:rsid w:val="0035319A"/>
    <w:rsid w:val="00361840"/>
    <w:rsid w:val="00361B3D"/>
    <w:rsid w:val="003628EC"/>
    <w:rsid w:val="003633F7"/>
    <w:rsid w:val="003651B7"/>
    <w:rsid w:val="0037384D"/>
    <w:rsid w:val="003744A4"/>
    <w:rsid w:val="00375804"/>
    <w:rsid w:val="003807AD"/>
    <w:rsid w:val="00382ACB"/>
    <w:rsid w:val="003850C2"/>
    <w:rsid w:val="00390757"/>
    <w:rsid w:val="00397BAD"/>
    <w:rsid w:val="003A602E"/>
    <w:rsid w:val="003A71C2"/>
    <w:rsid w:val="003B01B7"/>
    <w:rsid w:val="003C315E"/>
    <w:rsid w:val="003C5048"/>
    <w:rsid w:val="003C575A"/>
    <w:rsid w:val="003C72B0"/>
    <w:rsid w:val="003C7CF6"/>
    <w:rsid w:val="003D24BC"/>
    <w:rsid w:val="003D7463"/>
    <w:rsid w:val="003E0AAA"/>
    <w:rsid w:val="003F0091"/>
    <w:rsid w:val="003F1161"/>
    <w:rsid w:val="003F5097"/>
    <w:rsid w:val="00401692"/>
    <w:rsid w:val="00401C74"/>
    <w:rsid w:val="00401E2C"/>
    <w:rsid w:val="00402469"/>
    <w:rsid w:val="004178DC"/>
    <w:rsid w:val="0043065E"/>
    <w:rsid w:val="00430878"/>
    <w:rsid w:val="00435803"/>
    <w:rsid w:val="004371C3"/>
    <w:rsid w:val="00445C70"/>
    <w:rsid w:val="004470AE"/>
    <w:rsid w:val="00450C8A"/>
    <w:rsid w:val="004529DE"/>
    <w:rsid w:val="00456509"/>
    <w:rsid w:val="004566F5"/>
    <w:rsid w:val="00456957"/>
    <w:rsid w:val="004577CB"/>
    <w:rsid w:val="0046132B"/>
    <w:rsid w:val="00466509"/>
    <w:rsid w:val="00466531"/>
    <w:rsid w:val="00466D7C"/>
    <w:rsid w:val="00473483"/>
    <w:rsid w:val="00476841"/>
    <w:rsid w:val="00476B9B"/>
    <w:rsid w:val="00477122"/>
    <w:rsid w:val="00480225"/>
    <w:rsid w:val="00481DC3"/>
    <w:rsid w:val="00482D21"/>
    <w:rsid w:val="004849EF"/>
    <w:rsid w:val="00486CB8"/>
    <w:rsid w:val="004A02B5"/>
    <w:rsid w:val="004A23E6"/>
    <w:rsid w:val="004A2B49"/>
    <w:rsid w:val="004A508A"/>
    <w:rsid w:val="004A621C"/>
    <w:rsid w:val="004B3CC1"/>
    <w:rsid w:val="004B63A7"/>
    <w:rsid w:val="004C4FF3"/>
    <w:rsid w:val="004D01C3"/>
    <w:rsid w:val="004D7224"/>
    <w:rsid w:val="004E2135"/>
    <w:rsid w:val="004E5B16"/>
    <w:rsid w:val="004F04F4"/>
    <w:rsid w:val="004F24F2"/>
    <w:rsid w:val="00500134"/>
    <w:rsid w:val="00501B66"/>
    <w:rsid w:val="00505FF4"/>
    <w:rsid w:val="00507935"/>
    <w:rsid w:val="00513D6E"/>
    <w:rsid w:val="00513D71"/>
    <w:rsid w:val="005176CD"/>
    <w:rsid w:val="00520009"/>
    <w:rsid w:val="00523B24"/>
    <w:rsid w:val="00526EA0"/>
    <w:rsid w:val="00532EED"/>
    <w:rsid w:val="00536746"/>
    <w:rsid w:val="005476F2"/>
    <w:rsid w:val="00547BBC"/>
    <w:rsid w:val="00547FB3"/>
    <w:rsid w:val="00554B26"/>
    <w:rsid w:val="00555B0B"/>
    <w:rsid w:val="00557AED"/>
    <w:rsid w:val="005641B4"/>
    <w:rsid w:val="00564766"/>
    <w:rsid w:val="00567A7D"/>
    <w:rsid w:val="00574986"/>
    <w:rsid w:val="00580E91"/>
    <w:rsid w:val="005875FB"/>
    <w:rsid w:val="00591B29"/>
    <w:rsid w:val="00592604"/>
    <w:rsid w:val="00593D25"/>
    <w:rsid w:val="0059635F"/>
    <w:rsid w:val="005A26D4"/>
    <w:rsid w:val="005B03A2"/>
    <w:rsid w:val="005B43D7"/>
    <w:rsid w:val="005B4479"/>
    <w:rsid w:val="005B7A3C"/>
    <w:rsid w:val="005C37FA"/>
    <w:rsid w:val="005C5172"/>
    <w:rsid w:val="005D0CA7"/>
    <w:rsid w:val="005D3077"/>
    <w:rsid w:val="005D65C0"/>
    <w:rsid w:val="005D696C"/>
    <w:rsid w:val="005E36C1"/>
    <w:rsid w:val="005F0329"/>
    <w:rsid w:val="005F0F08"/>
    <w:rsid w:val="005F1804"/>
    <w:rsid w:val="0060112C"/>
    <w:rsid w:val="0060691A"/>
    <w:rsid w:val="00611A02"/>
    <w:rsid w:val="0061202D"/>
    <w:rsid w:val="006139D9"/>
    <w:rsid w:val="00614083"/>
    <w:rsid w:val="00614B0B"/>
    <w:rsid w:val="00620343"/>
    <w:rsid w:val="0062641E"/>
    <w:rsid w:val="00627420"/>
    <w:rsid w:val="00627425"/>
    <w:rsid w:val="0063057D"/>
    <w:rsid w:val="00632913"/>
    <w:rsid w:val="00637EA9"/>
    <w:rsid w:val="006405AB"/>
    <w:rsid w:val="00642416"/>
    <w:rsid w:val="0064701A"/>
    <w:rsid w:val="00647A19"/>
    <w:rsid w:val="00650570"/>
    <w:rsid w:val="00652946"/>
    <w:rsid w:val="00680ED5"/>
    <w:rsid w:val="006815CE"/>
    <w:rsid w:val="00683AD8"/>
    <w:rsid w:val="00686806"/>
    <w:rsid w:val="006901B0"/>
    <w:rsid w:val="00691A96"/>
    <w:rsid w:val="0069661D"/>
    <w:rsid w:val="006A1336"/>
    <w:rsid w:val="006A5F0F"/>
    <w:rsid w:val="006B132E"/>
    <w:rsid w:val="006B2308"/>
    <w:rsid w:val="006B2CDF"/>
    <w:rsid w:val="006B36A4"/>
    <w:rsid w:val="006B4231"/>
    <w:rsid w:val="006C18E0"/>
    <w:rsid w:val="006C1D1E"/>
    <w:rsid w:val="006C638A"/>
    <w:rsid w:val="006C7CC8"/>
    <w:rsid w:val="006E2C2C"/>
    <w:rsid w:val="006E4E48"/>
    <w:rsid w:val="006F1499"/>
    <w:rsid w:val="00700722"/>
    <w:rsid w:val="00701BA9"/>
    <w:rsid w:val="00702491"/>
    <w:rsid w:val="00703DC5"/>
    <w:rsid w:val="0070483C"/>
    <w:rsid w:val="007060FF"/>
    <w:rsid w:val="0071308F"/>
    <w:rsid w:val="00714540"/>
    <w:rsid w:val="0071585E"/>
    <w:rsid w:val="0071600A"/>
    <w:rsid w:val="00717A46"/>
    <w:rsid w:val="00717EF0"/>
    <w:rsid w:val="0073114D"/>
    <w:rsid w:val="00733260"/>
    <w:rsid w:val="00740E4C"/>
    <w:rsid w:val="007419FF"/>
    <w:rsid w:val="0074347F"/>
    <w:rsid w:val="00745D47"/>
    <w:rsid w:val="0075052B"/>
    <w:rsid w:val="00750CF4"/>
    <w:rsid w:val="007562C4"/>
    <w:rsid w:val="007607E3"/>
    <w:rsid w:val="007608C9"/>
    <w:rsid w:val="007624CA"/>
    <w:rsid w:val="007670EF"/>
    <w:rsid w:val="00767EE7"/>
    <w:rsid w:val="00772062"/>
    <w:rsid w:val="0077422B"/>
    <w:rsid w:val="00774C18"/>
    <w:rsid w:val="00776B72"/>
    <w:rsid w:val="00781729"/>
    <w:rsid w:val="00781BAB"/>
    <w:rsid w:val="00781D21"/>
    <w:rsid w:val="007844DD"/>
    <w:rsid w:val="007866AD"/>
    <w:rsid w:val="00791743"/>
    <w:rsid w:val="00796EEE"/>
    <w:rsid w:val="007A2BA9"/>
    <w:rsid w:val="007A65D7"/>
    <w:rsid w:val="007B1E1F"/>
    <w:rsid w:val="007B35C2"/>
    <w:rsid w:val="007B6EC9"/>
    <w:rsid w:val="007B73F3"/>
    <w:rsid w:val="007C1E2F"/>
    <w:rsid w:val="007C4036"/>
    <w:rsid w:val="007C4ADE"/>
    <w:rsid w:val="007C6251"/>
    <w:rsid w:val="007E22BF"/>
    <w:rsid w:val="007E3707"/>
    <w:rsid w:val="007E50FB"/>
    <w:rsid w:val="007E51F9"/>
    <w:rsid w:val="007E60F9"/>
    <w:rsid w:val="007F010E"/>
    <w:rsid w:val="007F085E"/>
    <w:rsid w:val="007F1DF2"/>
    <w:rsid w:val="007F449F"/>
    <w:rsid w:val="007F5D5D"/>
    <w:rsid w:val="00807292"/>
    <w:rsid w:val="008113EE"/>
    <w:rsid w:val="00811C05"/>
    <w:rsid w:val="008150E2"/>
    <w:rsid w:val="008221E8"/>
    <w:rsid w:val="00842E1D"/>
    <w:rsid w:val="00845137"/>
    <w:rsid w:val="00857D65"/>
    <w:rsid w:val="008608C4"/>
    <w:rsid w:val="008733A5"/>
    <w:rsid w:val="00880BB9"/>
    <w:rsid w:val="0088180B"/>
    <w:rsid w:val="0088188F"/>
    <w:rsid w:val="00881A3C"/>
    <w:rsid w:val="00882232"/>
    <w:rsid w:val="00882F24"/>
    <w:rsid w:val="00883611"/>
    <w:rsid w:val="008878CF"/>
    <w:rsid w:val="00892776"/>
    <w:rsid w:val="00896CB9"/>
    <w:rsid w:val="008B4846"/>
    <w:rsid w:val="008C5CF8"/>
    <w:rsid w:val="008C61C5"/>
    <w:rsid w:val="008C73B3"/>
    <w:rsid w:val="008D166C"/>
    <w:rsid w:val="008E43AF"/>
    <w:rsid w:val="00906974"/>
    <w:rsid w:val="00911384"/>
    <w:rsid w:val="009157ED"/>
    <w:rsid w:val="00916073"/>
    <w:rsid w:val="009201AE"/>
    <w:rsid w:val="00921FDC"/>
    <w:rsid w:val="00923ACC"/>
    <w:rsid w:val="00924A2E"/>
    <w:rsid w:val="00930B99"/>
    <w:rsid w:val="00935BBA"/>
    <w:rsid w:val="00936AC3"/>
    <w:rsid w:val="00937A2B"/>
    <w:rsid w:val="0094356E"/>
    <w:rsid w:val="00944925"/>
    <w:rsid w:val="0094625A"/>
    <w:rsid w:val="00947EA1"/>
    <w:rsid w:val="00952F0B"/>
    <w:rsid w:val="00955CFD"/>
    <w:rsid w:val="0096300F"/>
    <w:rsid w:val="009744C7"/>
    <w:rsid w:val="0097476E"/>
    <w:rsid w:val="00976C98"/>
    <w:rsid w:val="009939B4"/>
    <w:rsid w:val="00994137"/>
    <w:rsid w:val="00995B68"/>
    <w:rsid w:val="009A101F"/>
    <w:rsid w:val="009A4746"/>
    <w:rsid w:val="009A5994"/>
    <w:rsid w:val="009A7F66"/>
    <w:rsid w:val="009B1243"/>
    <w:rsid w:val="009B1DDA"/>
    <w:rsid w:val="009B5DD2"/>
    <w:rsid w:val="009C1ADD"/>
    <w:rsid w:val="009C1FBB"/>
    <w:rsid w:val="009C3334"/>
    <w:rsid w:val="009C7C9A"/>
    <w:rsid w:val="009C7D7C"/>
    <w:rsid w:val="009D14F9"/>
    <w:rsid w:val="009D2452"/>
    <w:rsid w:val="009D3A32"/>
    <w:rsid w:val="009D62A9"/>
    <w:rsid w:val="009D6A80"/>
    <w:rsid w:val="009E0623"/>
    <w:rsid w:val="009E168A"/>
    <w:rsid w:val="009E38BB"/>
    <w:rsid w:val="009F072B"/>
    <w:rsid w:val="009F754B"/>
    <w:rsid w:val="00A037CF"/>
    <w:rsid w:val="00A05417"/>
    <w:rsid w:val="00A063CA"/>
    <w:rsid w:val="00A154A3"/>
    <w:rsid w:val="00A177D1"/>
    <w:rsid w:val="00A216EF"/>
    <w:rsid w:val="00A244E0"/>
    <w:rsid w:val="00A30D2D"/>
    <w:rsid w:val="00A353E0"/>
    <w:rsid w:val="00A37C03"/>
    <w:rsid w:val="00A41A06"/>
    <w:rsid w:val="00A420F3"/>
    <w:rsid w:val="00A54E87"/>
    <w:rsid w:val="00A55756"/>
    <w:rsid w:val="00A55A13"/>
    <w:rsid w:val="00A56D28"/>
    <w:rsid w:val="00A61720"/>
    <w:rsid w:val="00A63330"/>
    <w:rsid w:val="00A63CE6"/>
    <w:rsid w:val="00A6422B"/>
    <w:rsid w:val="00A66ECA"/>
    <w:rsid w:val="00A7252D"/>
    <w:rsid w:val="00A82175"/>
    <w:rsid w:val="00A84755"/>
    <w:rsid w:val="00A86693"/>
    <w:rsid w:val="00A907AE"/>
    <w:rsid w:val="00A93116"/>
    <w:rsid w:val="00A93A99"/>
    <w:rsid w:val="00AA10F2"/>
    <w:rsid w:val="00AA1148"/>
    <w:rsid w:val="00AA35F2"/>
    <w:rsid w:val="00AB5EBB"/>
    <w:rsid w:val="00AC370F"/>
    <w:rsid w:val="00AD3E21"/>
    <w:rsid w:val="00AE37C3"/>
    <w:rsid w:val="00AE5069"/>
    <w:rsid w:val="00B03CF8"/>
    <w:rsid w:val="00B04F32"/>
    <w:rsid w:val="00B053AD"/>
    <w:rsid w:val="00B05CA7"/>
    <w:rsid w:val="00B068BF"/>
    <w:rsid w:val="00B1270B"/>
    <w:rsid w:val="00B1336D"/>
    <w:rsid w:val="00B15C89"/>
    <w:rsid w:val="00B2108C"/>
    <w:rsid w:val="00B221E7"/>
    <w:rsid w:val="00B26AE0"/>
    <w:rsid w:val="00B30960"/>
    <w:rsid w:val="00B312C4"/>
    <w:rsid w:val="00B33D14"/>
    <w:rsid w:val="00B379BC"/>
    <w:rsid w:val="00B42CE0"/>
    <w:rsid w:val="00B47D5E"/>
    <w:rsid w:val="00B50368"/>
    <w:rsid w:val="00B50ED8"/>
    <w:rsid w:val="00B52F7B"/>
    <w:rsid w:val="00B550DE"/>
    <w:rsid w:val="00B60F85"/>
    <w:rsid w:val="00B74715"/>
    <w:rsid w:val="00B86A68"/>
    <w:rsid w:val="00B91922"/>
    <w:rsid w:val="00B91B05"/>
    <w:rsid w:val="00BA0FC0"/>
    <w:rsid w:val="00BB62C1"/>
    <w:rsid w:val="00BC57C5"/>
    <w:rsid w:val="00BD6E39"/>
    <w:rsid w:val="00BE0BEF"/>
    <w:rsid w:val="00BE2074"/>
    <w:rsid w:val="00BE2F8E"/>
    <w:rsid w:val="00BE481C"/>
    <w:rsid w:val="00BF0EB0"/>
    <w:rsid w:val="00BF7910"/>
    <w:rsid w:val="00BF7C92"/>
    <w:rsid w:val="00C04EAA"/>
    <w:rsid w:val="00C0613C"/>
    <w:rsid w:val="00C06CCD"/>
    <w:rsid w:val="00C1005A"/>
    <w:rsid w:val="00C11FA2"/>
    <w:rsid w:val="00C14BA5"/>
    <w:rsid w:val="00C20AD7"/>
    <w:rsid w:val="00C24D5B"/>
    <w:rsid w:val="00C27AFB"/>
    <w:rsid w:val="00C30B3B"/>
    <w:rsid w:val="00C313DD"/>
    <w:rsid w:val="00C32B72"/>
    <w:rsid w:val="00C4052B"/>
    <w:rsid w:val="00C453FB"/>
    <w:rsid w:val="00C562E2"/>
    <w:rsid w:val="00C567B1"/>
    <w:rsid w:val="00C64FA2"/>
    <w:rsid w:val="00C824B0"/>
    <w:rsid w:val="00C82BA2"/>
    <w:rsid w:val="00C90D2B"/>
    <w:rsid w:val="00C911AF"/>
    <w:rsid w:val="00C95499"/>
    <w:rsid w:val="00C957DA"/>
    <w:rsid w:val="00C97296"/>
    <w:rsid w:val="00CA1ADE"/>
    <w:rsid w:val="00CA3BA7"/>
    <w:rsid w:val="00CB03C2"/>
    <w:rsid w:val="00CB169B"/>
    <w:rsid w:val="00CB4199"/>
    <w:rsid w:val="00CB4E53"/>
    <w:rsid w:val="00CB5C1C"/>
    <w:rsid w:val="00CB7724"/>
    <w:rsid w:val="00CC0EF5"/>
    <w:rsid w:val="00CC1ABE"/>
    <w:rsid w:val="00CC5974"/>
    <w:rsid w:val="00CD0FD5"/>
    <w:rsid w:val="00CE5D6B"/>
    <w:rsid w:val="00CF0117"/>
    <w:rsid w:val="00CF023F"/>
    <w:rsid w:val="00CF2290"/>
    <w:rsid w:val="00CF5318"/>
    <w:rsid w:val="00D06FA4"/>
    <w:rsid w:val="00D07545"/>
    <w:rsid w:val="00D11167"/>
    <w:rsid w:val="00D11799"/>
    <w:rsid w:val="00D13CE2"/>
    <w:rsid w:val="00D155B7"/>
    <w:rsid w:val="00D16A38"/>
    <w:rsid w:val="00D23793"/>
    <w:rsid w:val="00D247A6"/>
    <w:rsid w:val="00D2589E"/>
    <w:rsid w:val="00D2639A"/>
    <w:rsid w:val="00D32048"/>
    <w:rsid w:val="00D35CDD"/>
    <w:rsid w:val="00D427F1"/>
    <w:rsid w:val="00D52886"/>
    <w:rsid w:val="00D57F15"/>
    <w:rsid w:val="00D73B4E"/>
    <w:rsid w:val="00D741C0"/>
    <w:rsid w:val="00D74611"/>
    <w:rsid w:val="00D75E7F"/>
    <w:rsid w:val="00D80AC1"/>
    <w:rsid w:val="00D81388"/>
    <w:rsid w:val="00D82470"/>
    <w:rsid w:val="00D87310"/>
    <w:rsid w:val="00D87791"/>
    <w:rsid w:val="00D90787"/>
    <w:rsid w:val="00D930D3"/>
    <w:rsid w:val="00D95CA2"/>
    <w:rsid w:val="00DA5B4A"/>
    <w:rsid w:val="00DA5F08"/>
    <w:rsid w:val="00DB1294"/>
    <w:rsid w:val="00DC1DA9"/>
    <w:rsid w:val="00DC3E38"/>
    <w:rsid w:val="00DD2708"/>
    <w:rsid w:val="00DD4648"/>
    <w:rsid w:val="00DD4794"/>
    <w:rsid w:val="00DD4B15"/>
    <w:rsid w:val="00DE5937"/>
    <w:rsid w:val="00DF1F62"/>
    <w:rsid w:val="00E13B3C"/>
    <w:rsid w:val="00E141C0"/>
    <w:rsid w:val="00E14D0E"/>
    <w:rsid w:val="00E1581D"/>
    <w:rsid w:val="00E21639"/>
    <w:rsid w:val="00E2486D"/>
    <w:rsid w:val="00E2498C"/>
    <w:rsid w:val="00E25016"/>
    <w:rsid w:val="00E255C1"/>
    <w:rsid w:val="00E32CC6"/>
    <w:rsid w:val="00E33B88"/>
    <w:rsid w:val="00E41482"/>
    <w:rsid w:val="00E4331C"/>
    <w:rsid w:val="00E54FFE"/>
    <w:rsid w:val="00E551A7"/>
    <w:rsid w:val="00E56450"/>
    <w:rsid w:val="00E61EAC"/>
    <w:rsid w:val="00E622A2"/>
    <w:rsid w:val="00E629E4"/>
    <w:rsid w:val="00E642FD"/>
    <w:rsid w:val="00E6440A"/>
    <w:rsid w:val="00E66ADC"/>
    <w:rsid w:val="00E73D67"/>
    <w:rsid w:val="00E768FD"/>
    <w:rsid w:val="00E828CB"/>
    <w:rsid w:val="00E854DF"/>
    <w:rsid w:val="00E86C74"/>
    <w:rsid w:val="00E86D29"/>
    <w:rsid w:val="00E871B9"/>
    <w:rsid w:val="00E9523F"/>
    <w:rsid w:val="00E9642A"/>
    <w:rsid w:val="00EA015A"/>
    <w:rsid w:val="00EA11F5"/>
    <w:rsid w:val="00EA311B"/>
    <w:rsid w:val="00EA4E5D"/>
    <w:rsid w:val="00EA5D2A"/>
    <w:rsid w:val="00EB31A3"/>
    <w:rsid w:val="00EB719E"/>
    <w:rsid w:val="00EC24F1"/>
    <w:rsid w:val="00ED094B"/>
    <w:rsid w:val="00ED52F2"/>
    <w:rsid w:val="00EE2A25"/>
    <w:rsid w:val="00EE5F10"/>
    <w:rsid w:val="00EE7AF9"/>
    <w:rsid w:val="00EF45DA"/>
    <w:rsid w:val="00EF5E8E"/>
    <w:rsid w:val="00EF6DFC"/>
    <w:rsid w:val="00F00016"/>
    <w:rsid w:val="00F009B7"/>
    <w:rsid w:val="00F120ED"/>
    <w:rsid w:val="00F24DD7"/>
    <w:rsid w:val="00F36185"/>
    <w:rsid w:val="00F42647"/>
    <w:rsid w:val="00F442E1"/>
    <w:rsid w:val="00F46734"/>
    <w:rsid w:val="00F47F26"/>
    <w:rsid w:val="00F52B23"/>
    <w:rsid w:val="00F53E61"/>
    <w:rsid w:val="00F60E0A"/>
    <w:rsid w:val="00F63AA7"/>
    <w:rsid w:val="00F705B6"/>
    <w:rsid w:val="00F770B0"/>
    <w:rsid w:val="00F81DB8"/>
    <w:rsid w:val="00FA0271"/>
    <w:rsid w:val="00FA046F"/>
    <w:rsid w:val="00FA2C34"/>
    <w:rsid w:val="00FA4928"/>
    <w:rsid w:val="00FA60C0"/>
    <w:rsid w:val="00FA6EC0"/>
    <w:rsid w:val="00FA7114"/>
    <w:rsid w:val="00FB4873"/>
    <w:rsid w:val="00FB4AFE"/>
    <w:rsid w:val="00FD5B54"/>
    <w:rsid w:val="00FF5693"/>
    <w:rsid w:val="00FF78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B89D3D-A325-4D55-B1B2-422964EA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34"/>
    <w:pPr>
      <w:spacing w:after="200" w:line="276" w:lineRule="auto"/>
    </w:pPr>
    <w:rPr>
      <w:sz w:val="22"/>
      <w:szCs w:val="22"/>
    </w:rPr>
  </w:style>
  <w:style w:type="paragraph" w:styleId="Heading1">
    <w:name w:val="heading 1"/>
    <w:basedOn w:val="Normal"/>
    <w:link w:val="Heading1Char"/>
    <w:uiPriority w:val="99"/>
    <w:qFormat/>
    <w:rsid w:val="004B3CC1"/>
    <w:pPr>
      <w:spacing w:before="100" w:beforeAutospacing="1" w:after="100" w:afterAutospacing="1" w:line="240" w:lineRule="auto"/>
      <w:outlineLvl w:val="0"/>
    </w:pPr>
    <w:rPr>
      <w:rFonts w:ascii="Times New Roman" w:eastAsia="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CC1"/>
    <w:rPr>
      <w:rFonts w:ascii="Times New Roman" w:hAnsi="Times New Roman" w:cs="Times New Roman"/>
      <w:b/>
      <w:bCs/>
      <w:kern w:val="36"/>
      <w:sz w:val="48"/>
      <w:szCs w:val="48"/>
      <w:lang w:val="ro-RO" w:eastAsia="ro-RO"/>
    </w:rPr>
  </w:style>
  <w:style w:type="paragraph" w:styleId="Header">
    <w:name w:val="header"/>
    <w:basedOn w:val="Normal"/>
    <w:link w:val="HeaderChar"/>
    <w:uiPriority w:val="99"/>
    <w:rsid w:val="005647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64766"/>
    <w:rPr>
      <w:rFonts w:cs="Times New Roman"/>
    </w:rPr>
  </w:style>
  <w:style w:type="paragraph" w:styleId="Footer">
    <w:name w:val="footer"/>
    <w:basedOn w:val="Normal"/>
    <w:link w:val="FooterChar"/>
    <w:uiPriority w:val="99"/>
    <w:rsid w:val="0056476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4766"/>
    <w:rPr>
      <w:rFonts w:cs="Times New Roman"/>
    </w:rPr>
  </w:style>
  <w:style w:type="paragraph" w:styleId="BalloonText">
    <w:name w:val="Balloon Text"/>
    <w:basedOn w:val="Normal"/>
    <w:link w:val="BalloonTextChar"/>
    <w:uiPriority w:val="99"/>
    <w:semiHidden/>
    <w:rsid w:val="005647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4766"/>
    <w:rPr>
      <w:rFonts w:ascii="Tahoma" w:hAnsi="Tahoma" w:cs="Times New Roman"/>
      <w:sz w:val="16"/>
    </w:rPr>
  </w:style>
  <w:style w:type="paragraph" w:customStyle="1" w:styleId="Default">
    <w:name w:val="Default"/>
    <w:uiPriority w:val="99"/>
    <w:rsid w:val="00564766"/>
    <w:pPr>
      <w:autoSpaceDE w:val="0"/>
      <w:autoSpaceDN w:val="0"/>
      <w:adjustRightInd w:val="0"/>
    </w:pPr>
    <w:rPr>
      <w:rFonts w:ascii="Trebuchet MS" w:hAnsi="Trebuchet MS" w:cs="Trebuchet MS"/>
      <w:color w:val="000000"/>
      <w:sz w:val="24"/>
      <w:szCs w:val="24"/>
    </w:rPr>
  </w:style>
  <w:style w:type="paragraph" w:customStyle="1" w:styleId="CM1">
    <w:name w:val="CM1"/>
    <w:basedOn w:val="Default"/>
    <w:next w:val="Default"/>
    <w:uiPriority w:val="99"/>
    <w:rsid w:val="00564766"/>
    <w:rPr>
      <w:rFonts w:ascii="EUAlbertina" w:hAnsi="EUAlbertina" w:cs="Times New Roman"/>
      <w:color w:val="auto"/>
    </w:rPr>
  </w:style>
  <w:style w:type="paragraph" w:customStyle="1" w:styleId="CM3">
    <w:name w:val="CM3"/>
    <w:basedOn w:val="Default"/>
    <w:next w:val="Default"/>
    <w:uiPriority w:val="99"/>
    <w:rsid w:val="00564766"/>
    <w:rPr>
      <w:rFonts w:ascii="EUAlbertina" w:hAnsi="EUAlbertina" w:cs="Times New Roman"/>
      <w:color w:val="auto"/>
    </w:rPr>
  </w:style>
  <w:style w:type="paragraph" w:styleId="ListParagraph">
    <w:name w:val="List Paragraph"/>
    <w:basedOn w:val="Normal"/>
    <w:uiPriority w:val="99"/>
    <w:qFormat/>
    <w:rsid w:val="00EF45DA"/>
    <w:pPr>
      <w:ind w:left="720"/>
      <w:contextualSpacing/>
    </w:pPr>
  </w:style>
  <w:style w:type="paragraph" w:customStyle="1" w:styleId="CM4">
    <w:name w:val="CM4"/>
    <w:basedOn w:val="Default"/>
    <w:next w:val="Default"/>
    <w:uiPriority w:val="99"/>
    <w:rsid w:val="00EF45DA"/>
    <w:rPr>
      <w:rFonts w:ascii="EUAlbertina" w:hAnsi="EUAlbertina" w:cs="Times New Roman"/>
      <w:color w:val="auto"/>
    </w:rPr>
  </w:style>
  <w:style w:type="character" w:styleId="Hyperlink">
    <w:name w:val="Hyperlink"/>
    <w:basedOn w:val="DefaultParagraphFont"/>
    <w:uiPriority w:val="99"/>
    <w:rsid w:val="00D11167"/>
    <w:rPr>
      <w:rFonts w:cs="Times New Roman"/>
      <w:color w:val="0000FF"/>
      <w:u w:val="single"/>
    </w:rPr>
  </w:style>
  <w:style w:type="paragraph" w:styleId="FootnoteText">
    <w:name w:val="footnote text"/>
    <w:basedOn w:val="Normal"/>
    <w:link w:val="FootnoteTextChar"/>
    <w:uiPriority w:val="99"/>
    <w:semiHidden/>
    <w:rsid w:val="00701BA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01BA9"/>
    <w:rPr>
      <w:rFonts w:cs="Times New Roman"/>
    </w:rPr>
  </w:style>
  <w:style w:type="character" w:styleId="FootnoteReference">
    <w:name w:val="footnote reference"/>
    <w:aliases w:val="Footnote,Footnote symbol,Fussnota,ftref"/>
    <w:basedOn w:val="DefaultParagraphFont"/>
    <w:uiPriority w:val="99"/>
    <w:rsid w:val="00701BA9"/>
    <w:rPr>
      <w:rFonts w:cs="Times New Roman"/>
      <w:vertAlign w:val="superscript"/>
    </w:rPr>
  </w:style>
  <w:style w:type="table" w:styleId="TableGrid">
    <w:name w:val="Table Grid"/>
    <w:basedOn w:val="TableNormal"/>
    <w:uiPriority w:val="99"/>
    <w:rsid w:val="00144C9A"/>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99"/>
    <w:qFormat/>
    <w:rsid w:val="004B3CC1"/>
    <w:rPr>
      <w:rFonts w:ascii="Arial" w:hAnsi="Arial"/>
      <w:sz w:val="22"/>
      <w:szCs w:val="22"/>
    </w:rPr>
  </w:style>
  <w:style w:type="character" w:customStyle="1" w:styleId="NoSpacingChar">
    <w:name w:val="No Spacing Char"/>
    <w:link w:val="NoSpacing"/>
    <w:uiPriority w:val="99"/>
    <w:locked/>
    <w:rsid w:val="004B3CC1"/>
    <w:rPr>
      <w:rFonts w:ascii="Arial" w:hAnsi="Arial"/>
      <w:sz w:val="22"/>
      <w:szCs w:val="22"/>
      <w:lang w:bidi="ar-SA"/>
    </w:rPr>
  </w:style>
  <w:style w:type="character" w:styleId="Emphasis">
    <w:name w:val="Emphasis"/>
    <w:basedOn w:val="DefaultParagraphFont"/>
    <w:uiPriority w:val="99"/>
    <w:qFormat/>
    <w:rsid w:val="004B3CC1"/>
    <w:rPr>
      <w:rFonts w:cs="Times New Roman"/>
      <w:i/>
      <w:iCs/>
    </w:rPr>
  </w:style>
  <w:style w:type="character" w:styleId="Strong">
    <w:name w:val="Strong"/>
    <w:basedOn w:val="DefaultParagraphFont"/>
    <w:uiPriority w:val="99"/>
    <w:qFormat/>
    <w:rsid w:val="006B132E"/>
    <w:rPr>
      <w:rFonts w:cs="Times New Roman"/>
      <w:b/>
      <w:bCs/>
    </w:rPr>
  </w:style>
  <w:style w:type="paragraph" w:styleId="NormalWeb">
    <w:name w:val="Normal (Web)"/>
    <w:basedOn w:val="Normal"/>
    <w:uiPriority w:val="99"/>
    <w:unhideWhenUsed/>
    <w:rsid w:val="001100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3111">
      <w:marLeft w:val="0"/>
      <w:marRight w:val="0"/>
      <w:marTop w:val="0"/>
      <w:marBottom w:val="0"/>
      <w:divBdr>
        <w:top w:val="none" w:sz="0" w:space="0" w:color="auto"/>
        <w:left w:val="none" w:sz="0" w:space="0" w:color="auto"/>
        <w:bottom w:val="none" w:sz="0" w:space="0" w:color="auto"/>
        <w:right w:val="none" w:sz="0" w:space="0" w:color="auto"/>
      </w:divBdr>
    </w:div>
    <w:div w:id="1910263112">
      <w:marLeft w:val="0"/>
      <w:marRight w:val="0"/>
      <w:marTop w:val="0"/>
      <w:marBottom w:val="0"/>
      <w:divBdr>
        <w:top w:val="none" w:sz="0" w:space="0" w:color="auto"/>
        <w:left w:val="none" w:sz="0" w:space="0" w:color="auto"/>
        <w:bottom w:val="none" w:sz="0" w:space="0" w:color="auto"/>
        <w:right w:val="none" w:sz="0" w:space="0" w:color="auto"/>
      </w:divBdr>
    </w:div>
    <w:div w:id="191026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3A2B-C2B4-4CD5-B649-B5C9BF52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SDL Valea Muntelui to 2020</vt:lpstr>
    </vt:vector>
  </TitlesOfParts>
  <Manager>Daniel Mogosanu</Manager>
  <Company>Addvances</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 Valea Muntelui to 2020</dc:title>
  <dc:subject>Introducere</dc:subject>
  <dc:creator>Daniel.Mogosanu</dc:creator>
  <cp:keywords/>
  <dc:description/>
  <cp:lastModifiedBy>andreea.alixandrescu@outlook.com</cp:lastModifiedBy>
  <cp:revision>4</cp:revision>
  <cp:lastPrinted>2016-06-23T07:41:00Z</cp:lastPrinted>
  <dcterms:created xsi:type="dcterms:W3CDTF">2017-03-11T04:11:00Z</dcterms:created>
  <dcterms:modified xsi:type="dcterms:W3CDTF">2017-03-11T04:24:00Z</dcterms:modified>
</cp:coreProperties>
</file>